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antonTab2"/>
        <w:tblW w:w="0" w:type="auto"/>
        <w:tblLook w:val="04A0" w:firstRow="1" w:lastRow="0" w:firstColumn="1" w:lastColumn="0" w:noHBand="0" w:noVBand="1"/>
        <w:tblCaption w:val="Adress-Tabelle"/>
        <w:tblDescription w:val="Amts-Adresse, wie Kundenadresse"/>
      </w:tblPr>
      <w:tblGrid>
        <w:gridCol w:w="720"/>
        <w:gridCol w:w="981"/>
        <w:gridCol w:w="3159"/>
      </w:tblGrid>
      <w:tr w:rsidR="00FC2FB0" w:rsidRPr="00A7333A" w14:paraId="1BEAD427" w14:textId="77777777" w:rsidTr="00FC2FB0">
        <w:tc>
          <w:tcPr>
            <w:tcW w:w="4860" w:type="dxa"/>
            <w:gridSpan w:val="3"/>
          </w:tcPr>
          <w:p w14:paraId="2190BD5C" w14:textId="77777777" w:rsidR="00FC2FB0" w:rsidRPr="00A7333A" w:rsidRDefault="00D51BCF" w:rsidP="00D51BCF">
            <w:pPr>
              <w:pStyle w:val="Absender"/>
            </w:pPr>
            <w:r w:rsidRPr="00A7333A">
              <w:t>Gerechtigkeitsgasse 81</w:t>
            </w:r>
          </w:p>
          <w:p w14:paraId="48BD296B" w14:textId="77777777" w:rsidR="00D51BCF" w:rsidRPr="00A7333A" w:rsidRDefault="00D51BCF" w:rsidP="006F4AA4">
            <w:pPr>
              <w:pStyle w:val="Absender"/>
            </w:pPr>
            <w:r w:rsidRPr="00A7333A">
              <w:t>301</w:t>
            </w:r>
            <w:r w:rsidR="006F4AA4" w:rsidRPr="00A7333A">
              <w:t>1</w:t>
            </w:r>
            <w:r w:rsidRPr="00A7333A">
              <w:t xml:space="preserve"> Bern</w:t>
            </w:r>
          </w:p>
        </w:tc>
      </w:tr>
      <w:tr w:rsidR="00FC2FB0" w:rsidRPr="00A7333A" w14:paraId="144753D1" w14:textId="77777777" w:rsidTr="00FC2FB0">
        <w:tc>
          <w:tcPr>
            <w:tcW w:w="720" w:type="dxa"/>
          </w:tcPr>
          <w:p w14:paraId="1AD98D53" w14:textId="77777777" w:rsidR="00FC2FB0" w:rsidRPr="00A7333A" w:rsidRDefault="00FC2FB0" w:rsidP="004425C2">
            <w:pPr>
              <w:pStyle w:val="Absender"/>
            </w:pPr>
            <w:r w:rsidRPr="00A7333A">
              <w:t>Telefon</w:t>
            </w:r>
          </w:p>
        </w:tc>
        <w:tc>
          <w:tcPr>
            <w:tcW w:w="4140" w:type="dxa"/>
            <w:gridSpan w:val="2"/>
          </w:tcPr>
          <w:p w14:paraId="270F62A0" w14:textId="77777777" w:rsidR="00FC2FB0" w:rsidRPr="00A7333A" w:rsidRDefault="00D51BCF" w:rsidP="00D51BCF">
            <w:pPr>
              <w:pStyle w:val="Absender"/>
            </w:pPr>
            <w:r w:rsidRPr="00A7333A">
              <w:t>031 633 76 33</w:t>
            </w:r>
          </w:p>
        </w:tc>
      </w:tr>
      <w:tr w:rsidR="00FC2FB0" w:rsidRPr="00A7333A" w14:paraId="410702A9" w14:textId="77777777" w:rsidTr="00FC2FB0">
        <w:tc>
          <w:tcPr>
            <w:tcW w:w="720" w:type="dxa"/>
          </w:tcPr>
          <w:p w14:paraId="0F673B8A" w14:textId="77777777" w:rsidR="00FC2FB0" w:rsidRPr="00A7333A" w:rsidRDefault="00FC2FB0" w:rsidP="004425C2">
            <w:pPr>
              <w:pStyle w:val="Absender"/>
            </w:pPr>
            <w:r w:rsidRPr="00A7333A">
              <w:t>Telefax</w:t>
            </w:r>
          </w:p>
        </w:tc>
        <w:tc>
          <w:tcPr>
            <w:tcW w:w="4140" w:type="dxa"/>
            <w:gridSpan w:val="2"/>
          </w:tcPr>
          <w:p w14:paraId="0663E2F8" w14:textId="77777777" w:rsidR="00FC2FB0" w:rsidRPr="00A7333A" w:rsidRDefault="00D51BCF" w:rsidP="00D51BCF">
            <w:pPr>
              <w:pStyle w:val="Absender"/>
            </w:pPr>
            <w:r w:rsidRPr="00A7333A">
              <w:t>031 633 76 18</w:t>
            </w:r>
          </w:p>
        </w:tc>
      </w:tr>
      <w:tr w:rsidR="00FC2FB0" w:rsidRPr="00A7333A" w14:paraId="59B6F053" w14:textId="77777777" w:rsidTr="00FC2FB0">
        <w:tc>
          <w:tcPr>
            <w:tcW w:w="4860" w:type="dxa"/>
            <w:gridSpan w:val="3"/>
          </w:tcPr>
          <w:p w14:paraId="44FDDA92" w14:textId="77777777" w:rsidR="006C04F1" w:rsidRPr="00A7333A" w:rsidRDefault="00CF3772" w:rsidP="00D51BCF">
            <w:pPr>
              <w:pStyle w:val="Absender"/>
            </w:pPr>
            <w:hyperlink r:id="rId8" w:history="1">
              <w:r w:rsidR="006C04F1" w:rsidRPr="00A7333A">
                <w:rPr>
                  <w:rStyle w:val="Hyperlink"/>
                </w:rPr>
                <w:t>www.be.ch/kja</w:t>
              </w:r>
            </w:hyperlink>
          </w:p>
        </w:tc>
      </w:tr>
      <w:tr w:rsidR="00FC2FB0" w:rsidRPr="00A7333A" w14:paraId="44DCAD81" w14:textId="77777777" w:rsidTr="00FC2FB0">
        <w:tc>
          <w:tcPr>
            <w:tcW w:w="4860" w:type="dxa"/>
            <w:gridSpan w:val="3"/>
          </w:tcPr>
          <w:p w14:paraId="5A2E7F76" w14:textId="77777777" w:rsidR="006C04F1" w:rsidRPr="00A7333A" w:rsidRDefault="00CF3772" w:rsidP="00D51BCF">
            <w:pPr>
              <w:pStyle w:val="Absender"/>
            </w:pPr>
            <w:hyperlink r:id="rId9" w:history="1">
              <w:r w:rsidR="006C04F1" w:rsidRPr="00A7333A">
                <w:rPr>
                  <w:rStyle w:val="Hyperlink"/>
                </w:rPr>
                <w:t>kja@jgk.be.ch</w:t>
              </w:r>
            </w:hyperlink>
          </w:p>
        </w:tc>
      </w:tr>
      <w:tr w:rsidR="00FC2FB0" w:rsidRPr="00A7333A" w14:paraId="4D80EC5D" w14:textId="77777777" w:rsidTr="00D67F3A">
        <w:trPr>
          <w:trHeight w:hRule="exact" w:val="284"/>
        </w:trPr>
        <w:tc>
          <w:tcPr>
            <w:tcW w:w="4860" w:type="dxa"/>
            <w:gridSpan w:val="3"/>
          </w:tcPr>
          <w:p w14:paraId="60F90D52" w14:textId="77777777" w:rsidR="00FC2FB0" w:rsidRPr="00A7333A" w:rsidRDefault="00FC2FB0" w:rsidP="00D67F3A">
            <w:pPr>
              <w:pStyle w:val="KeinLeerraum"/>
              <w:jc w:val="right"/>
              <w:rPr>
                <w:sz w:val="18"/>
                <w:szCs w:val="18"/>
              </w:rPr>
            </w:pPr>
          </w:p>
        </w:tc>
      </w:tr>
      <w:tr w:rsidR="00FC2FB0" w:rsidRPr="00A7333A" w14:paraId="09C68154" w14:textId="77777777" w:rsidTr="001C412C">
        <w:trPr>
          <w:trHeight w:val="1362"/>
        </w:trPr>
        <w:tc>
          <w:tcPr>
            <w:tcW w:w="4860" w:type="dxa"/>
            <w:gridSpan w:val="3"/>
          </w:tcPr>
          <w:p w14:paraId="65F88300" w14:textId="77777777" w:rsidR="00DE550D" w:rsidRPr="00A7333A" w:rsidRDefault="00DE550D" w:rsidP="00DE550D">
            <w:pPr>
              <w:pStyle w:val="Absender"/>
            </w:pPr>
          </w:p>
        </w:tc>
      </w:tr>
      <w:tr w:rsidR="00DE550D" w:rsidRPr="00A7333A" w14:paraId="79FF5468" w14:textId="77777777" w:rsidTr="00093C68">
        <w:trPr>
          <w:trHeight w:val="525"/>
        </w:trPr>
        <w:tc>
          <w:tcPr>
            <w:tcW w:w="1701" w:type="dxa"/>
            <w:gridSpan w:val="2"/>
          </w:tcPr>
          <w:p w14:paraId="1F5C1D54" w14:textId="77777777" w:rsidR="00DE550D" w:rsidRPr="00A7333A" w:rsidRDefault="00DE550D" w:rsidP="00BD3450">
            <w:pPr>
              <w:pStyle w:val="KeinLeerraum"/>
            </w:pPr>
          </w:p>
        </w:tc>
        <w:tc>
          <w:tcPr>
            <w:tcW w:w="3159" w:type="dxa"/>
          </w:tcPr>
          <w:p w14:paraId="2BDDE0A1" w14:textId="77777777" w:rsidR="00DE550D" w:rsidRPr="00A7333A" w:rsidRDefault="00DE550D" w:rsidP="00BD3450">
            <w:pPr>
              <w:pStyle w:val="KeinLeerraum"/>
            </w:pPr>
          </w:p>
        </w:tc>
      </w:tr>
    </w:tbl>
    <w:tbl>
      <w:tblPr>
        <w:tblStyle w:val="Tabellenraster"/>
        <w:tblpPr w:leftFromText="142" w:rightFromText="142" w:vertAnchor="page" w:horzAnchor="page" w:tblpX="7089" w:tblpY="226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right w:w="0" w:type="dxa"/>
        </w:tblCellMar>
        <w:tblLook w:val="04A0" w:firstRow="1" w:lastRow="0" w:firstColumn="1" w:lastColumn="0" w:noHBand="0" w:noVBand="1"/>
        <w:tblCaption w:val="Adress-Tabelle"/>
        <w:tblDescription w:val="Amts-Adresse, wie Kundenadresse"/>
      </w:tblPr>
      <w:tblGrid>
        <w:gridCol w:w="3960"/>
      </w:tblGrid>
      <w:tr w:rsidR="00FC2FB0" w:rsidRPr="00A7333A" w14:paraId="156DBF19" w14:textId="77777777" w:rsidTr="00282941">
        <w:trPr>
          <w:trHeight w:val="3061"/>
        </w:trPr>
        <w:tc>
          <w:tcPr>
            <w:tcW w:w="3960" w:type="dxa"/>
          </w:tcPr>
          <w:p w14:paraId="53560467" w14:textId="77777777" w:rsidR="00FC2FB0" w:rsidRDefault="00FC2FB0" w:rsidP="00E7158D">
            <w:pPr>
              <w:pStyle w:val="KeinLeerraum"/>
            </w:pPr>
          </w:p>
          <w:p w14:paraId="34CD3FE2" w14:textId="518FE114" w:rsidR="00375183" w:rsidRPr="00687B21" w:rsidRDefault="00AD3FDF" w:rsidP="00375183">
            <w:pPr>
              <w:pStyle w:val="KeinLeerraum"/>
              <w:rPr>
                <w:b/>
                <w:sz w:val="24"/>
                <w:szCs w:val="24"/>
              </w:rPr>
            </w:pPr>
            <w:r>
              <w:rPr>
                <w:b/>
                <w:sz w:val="24"/>
                <w:szCs w:val="24"/>
              </w:rPr>
              <w:t>Konsultationsantwort</w:t>
            </w:r>
            <w:r w:rsidR="00E0621F" w:rsidRPr="00687B21">
              <w:rPr>
                <w:b/>
                <w:sz w:val="24"/>
                <w:szCs w:val="24"/>
              </w:rPr>
              <w:t xml:space="preserve"> </w:t>
            </w:r>
            <w:r w:rsidR="00687B21">
              <w:rPr>
                <w:b/>
                <w:sz w:val="24"/>
                <w:szCs w:val="24"/>
              </w:rPr>
              <w:t>der</w:t>
            </w:r>
          </w:p>
          <w:p w14:paraId="25F3CF8B" w14:textId="72CF9C3B" w:rsidR="007E6622" w:rsidRPr="007E6622" w:rsidRDefault="00375183" w:rsidP="00687B21">
            <w:pPr>
              <w:pStyle w:val="KeinLeerraum"/>
              <w:rPr>
                <w:b/>
                <w:sz w:val="32"/>
                <w:szCs w:val="32"/>
              </w:rPr>
            </w:pPr>
            <w:r w:rsidRPr="00687B21">
              <w:rPr>
                <w:b/>
                <w:sz w:val="24"/>
                <w:szCs w:val="24"/>
              </w:rPr>
              <w:t>Berner Konferenz für Sozialhilfe, Kindes- und Erwachsenenschutz BKSE</w:t>
            </w:r>
          </w:p>
        </w:tc>
      </w:tr>
      <w:tr w:rsidR="00FC2FB0" w:rsidRPr="00A7333A" w14:paraId="39EDEF5D" w14:textId="77777777" w:rsidTr="001B316A">
        <w:trPr>
          <w:trHeight w:val="530"/>
        </w:trPr>
        <w:sdt>
          <w:sdtPr>
            <w:id w:val="-1409303676"/>
            <w:placeholder>
              <w:docPart w:val="1CB96F5948864624915E778D50A73674"/>
            </w:placeholder>
            <w:date w:fullDate="2016-06-29T00:00:00Z">
              <w:dateFormat w:val="d. MMMM yyyy"/>
              <w:lid w:val="de-CH"/>
              <w:storeMappedDataAs w:val="dateTime"/>
              <w:calendar w:val="gregorian"/>
            </w:date>
          </w:sdtPr>
          <w:sdtEndPr/>
          <w:sdtContent>
            <w:tc>
              <w:tcPr>
                <w:tcW w:w="3960" w:type="dxa"/>
              </w:tcPr>
              <w:p w14:paraId="2E48CD04" w14:textId="40449180" w:rsidR="00FC2FB0" w:rsidRPr="00A7333A" w:rsidRDefault="00FD5818" w:rsidP="00375183">
                <w:pPr>
                  <w:pStyle w:val="KeinLeerraum"/>
                </w:pPr>
                <w:r>
                  <w:t>29. Juni 2016</w:t>
                </w:r>
              </w:p>
            </w:tc>
          </w:sdtContent>
        </w:sdt>
      </w:tr>
    </w:tbl>
    <w:tbl>
      <w:tblPr>
        <w:tblW w:w="14317" w:type="dxa"/>
        <w:tblInd w:w="57" w:type="dxa"/>
        <w:tblLayout w:type="fixed"/>
        <w:tblCellMar>
          <w:left w:w="0" w:type="dxa"/>
          <w:right w:w="0" w:type="dxa"/>
        </w:tblCellMar>
        <w:tblLook w:val="01E0" w:firstRow="1" w:lastRow="1" w:firstColumn="1" w:lastColumn="1" w:noHBand="0" w:noVBand="0"/>
        <w:tblCaption w:val="Adress-Tabelle"/>
        <w:tblDescription w:val="Amts-Adresse, wie Kundenadresse"/>
      </w:tblPr>
      <w:tblGrid>
        <w:gridCol w:w="14317"/>
      </w:tblGrid>
      <w:tr w:rsidR="00E7158D" w14:paraId="25774988" w14:textId="77777777" w:rsidTr="008E6471">
        <w:trPr>
          <w:trHeight w:val="352"/>
        </w:trPr>
        <w:tc>
          <w:tcPr>
            <w:tcW w:w="14317" w:type="dxa"/>
            <w:tcMar>
              <w:top w:w="454" w:type="dxa"/>
              <w:left w:w="57" w:type="dxa"/>
              <w:bottom w:w="510" w:type="dxa"/>
            </w:tcMar>
          </w:tcPr>
          <w:p w14:paraId="7804A59D" w14:textId="77777777" w:rsidR="00E7158D" w:rsidRDefault="00E7158D" w:rsidP="008E6471">
            <w:pPr>
              <w:pStyle w:val="Subject"/>
            </w:pPr>
            <w:bookmarkStart w:id="0" w:name="Subject" w:colFirst="0" w:colLast="0"/>
            <w:r w:rsidRPr="0031750A">
              <w:t>Antwort-Tabel</w:t>
            </w:r>
            <w:r>
              <w:t>le Konsultation</w:t>
            </w:r>
            <w:r w:rsidRPr="0031750A">
              <w:t xml:space="preserve"> </w:t>
            </w:r>
          </w:p>
          <w:p w14:paraId="65526847" w14:textId="77777777" w:rsidR="00E7158D" w:rsidRPr="0031750A" w:rsidRDefault="00E7158D" w:rsidP="008E6471">
            <w:pPr>
              <w:pStyle w:val="Subject"/>
            </w:pPr>
            <w:r w:rsidRPr="0031750A">
              <w:t xml:space="preserve">zur </w:t>
            </w:r>
            <w:r>
              <w:t>Änderung der Verordnung über die Zusammenarbeit der kommunalen Dienste mit den Kindes- und Erwachsenenschutzbehörden und die Abgeltung der den Gemeinden anfallenden Aufwendungen (ZAV)</w:t>
            </w:r>
            <w:r w:rsidR="00262921">
              <w:t xml:space="preserve"> (BSG 213.318)</w:t>
            </w:r>
          </w:p>
        </w:tc>
      </w:tr>
    </w:tbl>
    <w:tbl>
      <w:tblPr>
        <w:tblStyle w:val="Tabellenraster"/>
        <w:tblW w:w="14457" w:type="dxa"/>
        <w:tblInd w:w="108" w:type="dxa"/>
        <w:tblLook w:val="04A0" w:firstRow="1" w:lastRow="0" w:firstColumn="1" w:lastColumn="0" w:noHBand="0" w:noVBand="1"/>
        <w:tblCaption w:val="Adress-Tabelle"/>
        <w:tblDescription w:val="Amts-Adresse, wie Kundenadresse"/>
      </w:tblPr>
      <w:tblGrid>
        <w:gridCol w:w="14457"/>
      </w:tblGrid>
      <w:tr w:rsidR="00E7158D" w14:paraId="41A6F504" w14:textId="77777777" w:rsidTr="008E6471">
        <w:tc>
          <w:tcPr>
            <w:tcW w:w="14457" w:type="dxa"/>
          </w:tcPr>
          <w:bookmarkEnd w:id="0"/>
          <w:p w14:paraId="6C4CA2CC" w14:textId="77777777" w:rsidR="00E7158D" w:rsidRDefault="00E7158D" w:rsidP="008E6471">
            <w:pPr>
              <w:pStyle w:val="Enclosures"/>
              <w:tabs>
                <w:tab w:val="left" w:pos="2983"/>
              </w:tabs>
              <w:rPr>
                <w:lang w:val="de-CH"/>
              </w:rPr>
            </w:pPr>
            <w:r>
              <w:rPr>
                <w:lang w:val="de-CH"/>
              </w:rPr>
              <w:t>Bitte retournieren:</w:t>
            </w:r>
            <w:r>
              <w:rPr>
                <w:lang w:val="de-CH"/>
              </w:rPr>
              <w:tab/>
              <w:t xml:space="preserve">- im </w:t>
            </w:r>
            <w:r w:rsidRPr="007F7271">
              <w:rPr>
                <w:u w:val="single"/>
                <w:lang w:val="de-CH"/>
              </w:rPr>
              <w:t>Word</w:t>
            </w:r>
            <w:r>
              <w:rPr>
                <w:lang w:val="de-CH"/>
              </w:rPr>
              <w:t>-Format</w:t>
            </w:r>
          </w:p>
          <w:p w14:paraId="530E5562" w14:textId="77777777" w:rsidR="00E7158D" w:rsidRDefault="00E7158D" w:rsidP="008E6471">
            <w:pPr>
              <w:pStyle w:val="Enclosures"/>
              <w:tabs>
                <w:tab w:val="left" w:pos="2983"/>
              </w:tabs>
              <w:ind w:left="2985"/>
              <w:rPr>
                <w:lang w:val="de-CH"/>
              </w:rPr>
            </w:pPr>
            <w:r>
              <w:rPr>
                <w:lang w:val="de-CH"/>
              </w:rPr>
              <w:t xml:space="preserve">- per E-Mail an </w:t>
            </w:r>
            <w:bookmarkStart w:id="1" w:name="_GoBack"/>
            <w:r w:rsidR="00CF3772">
              <w:fldChar w:fldCharType="begin"/>
            </w:r>
            <w:r w:rsidR="00CF3772">
              <w:instrText xml:space="preserve"> HYPERLINK "mailto:mathias.kuhn@jgk.be.ch" </w:instrText>
            </w:r>
            <w:r w:rsidR="00CF3772">
              <w:fldChar w:fldCharType="separate"/>
            </w:r>
            <w:r w:rsidRPr="00C0178B">
              <w:rPr>
                <w:rStyle w:val="Hyperlink"/>
                <w:lang w:val="de-CH"/>
              </w:rPr>
              <w:t>mathias.kuhn@jgk.be.ch</w:t>
            </w:r>
            <w:r w:rsidR="00CF3772">
              <w:rPr>
                <w:rStyle w:val="Hyperlink"/>
                <w:lang w:val="de-CH"/>
              </w:rPr>
              <w:fldChar w:fldCharType="end"/>
            </w:r>
            <w:bookmarkEnd w:id="1"/>
          </w:p>
          <w:p w14:paraId="67EE7262" w14:textId="77777777" w:rsidR="00E7158D" w:rsidRDefault="00E7158D" w:rsidP="008E6471">
            <w:pPr>
              <w:pStyle w:val="Enclosures"/>
              <w:tabs>
                <w:tab w:val="left" w:pos="2983"/>
              </w:tabs>
              <w:ind w:left="2985"/>
              <w:rPr>
                <w:lang w:val="de-CH"/>
              </w:rPr>
            </w:pPr>
            <w:r>
              <w:rPr>
                <w:lang w:val="de-CH"/>
              </w:rPr>
              <w:t xml:space="preserve">- bis </w:t>
            </w:r>
            <w:r>
              <w:rPr>
                <w:b/>
                <w:lang w:val="de-CH"/>
              </w:rPr>
              <w:t>7. Juli 2016</w:t>
            </w:r>
            <w:r>
              <w:rPr>
                <w:lang w:val="de-CH"/>
              </w:rPr>
              <w:t xml:space="preserve"> </w:t>
            </w:r>
          </w:p>
        </w:tc>
      </w:tr>
    </w:tbl>
    <w:p w14:paraId="3D126502" w14:textId="77777777" w:rsidR="00E7158D" w:rsidRDefault="00E7158D" w:rsidP="00E7158D">
      <w:pPr>
        <w:pStyle w:val="Enclosures"/>
        <w:rPr>
          <w:lang w:val="de-CH"/>
        </w:rPr>
      </w:pPr>
    </w:p>
    <w:p w14:paraId="05B9CD4E" w14:textId="77777777" w:rsidR="00E7158D" w:rsidRDefault="00E7158D" w:rsidP="00E7158D">
      <w:pPr>
        <w:pStyle w:val="Enclosures"/>
        <w:rPr>
          <w:lang w:val="de-CH"/>
        </w:rPr>
      </w:pPr>
      <w:r>
        <w:rPr>
          <w:lang w:val="de-CH"/>
        </w:rPr>
        <w:t>Bitte schreiben Sie Ihre Bemerkungen für jeden Artikel in die Kolonne „Bemerkungen“; allfällige Vorschläge (Änderungen, Verbesserungen) in die Kolonne „Vorschlag“</w:t>
      </w:r>
    </w:p>
    <w:p w14:paraId="4405D911" w14:textId="77777777" w:rsidR="00E7158D" w:rsidRPr="002D5786" w:rsidRDefault="00E7158D" w:rsidP="00E7158D">
      <w:pPr>
        <w:pStyle w:val="Enclosures"/>
        <w:rPr>
          <w:lang w:val="de-CH"/>
        </w:rPr>
      </w:pPr>
      <w:r w:rsidRPr="002D5786">
        <w:rPr>
          <w:lang w:val="de-CH"/>
        </w:rPr>
        <w:fldChar w:fldCharType="begin"/>
      </w:r>
      <w:r w:rsidRPr="002D5786">
        <w:rPr>
          <w:lang w:val="de-CH"/>
        </w:rPr>
        <w:instrText xml:space="preserve"> IF </w:instrText>
      </w:r>
      <w:r w:rsidRPr="002D5786">
        <w:rPr>
          <w:lang w:val="de-CH"/>
        </w:rPr>
        <w:fldChar w:fldCharType="begin"/>
      </w:r>
      <w:r w:rsidRPr="002D5786">
        <w:rPr>
          <w:lang w:val="de-CH"/>
        </w:rPr>
        <w:instrText xml:space="preserve"> DOCPROPERTY  CustomField.Attach  \* MERGEFORMAT </w:instrText>
      </w:r>
      <w:r w:rsidRPr="002D5786">
        <w:rPr>
          <w:lang w:val="de-CH"/>
        </w:rPr>
        <w:fldChar w:fldCharType="end"/>
      </w:r>
      <w:r w:rsidRPr="002D5786">
        <w:rPr>
          <w:lang w:val="de-CH"/>
        </w:rPr>
        <w:instrText>="" "" "</w:instrText>
      </w:r>
      <w:r w:rsidRPr="002D5786">
        <w:rPr>
          <w:lang w:val="de-CH"/>
        </w:rPr>
        <w:fldChar w:fldCharType="begin"/>
      </w:r>
      <w:r w:rsidRPr="002D5786">
        <w:rPr>
          <w:lang w:val="de-CH"/>
        </w:rPr>
        <w:instrText xml:space="preserve"> DOCPROPERTY  Doc.Attach  \* MERGEFORMAT </w:instrText>
      </w:r>
      <w:r w:rsidRPr="002D5786">
        <w:rPr>
          <w:lang w:val="de-CH"/>
        </w:rPr>
        <w:fldChar w:fldCharType="separate"/>
      </w:r>
      <w:r w:rsidRPr="002D5786">
        <w:rPr>
          <w:lang w:val="de-CH"/>
        </w:rPr>
        <w:instrText>Doc.Attach</w:instrText>
      </w:r>
      <w:r w:rsidRPr="002D5786">
        <w:rPr>
          <w:lang w:val="de-CH"/>
        </w:rPr>
        <w:fldChar w:fldCharType="end"/>
      </w:r>
    </w:p>
    <w:p w14:paraId="2F652FB4" w14:textId="77777777" w:rsidR="00E7158D" w:rsidRPr="002D5786" w:rsidRDefault="00CF3772" w:rsidP="00E7158D">
      <w:pPr>
        <w:pStyle w:val="Aufzhlung"/>
        <w:keepNext/>
        <w:keepLines/>
        <w:numPr>
          <w:ilvl w:val="0"/>
          <w:numId w:val="24"/>
        </w:numPr>
        <w:spacing w:after="0" w:line="240" w:lineRule="atLeast"/>
        <w:contextualSpacing w:val="0"/>
      </w:pPr>
      <w:r>
        <w:fldChar w:fldCharType="begin"/>
      </w:r>
      <w:r>
        <w:instrText xml:space="preserve"> DOCPROPERTY  CustomField.Attach  \* MERGEFORMAT </w:instrText>
      </w:r>
      <w:r>
        <w:fldChar w:fldCharType="separate"/>
      </w:r>
      <w:r w:rsidR="00E7158D" w:rsidRPr="002D5786">
        <w:instrText>CustomField.Attach</w:instrText>
      </w:r>
      <w:r>
        <w:fldChar w:fldCharType="end"/>
      </w:r>
      <w:r w:rsidR="00E7158D" w:rsidRPr="002D5786">
        <w:instrText>"\* MERGEFORMAT \&lt;OawJumpToField value=0/&gt;</w:instrText>
      </w:r>
      <w:r w:rsidR="00E7158D" w:rsidRPr="002D5786">
        <w:fldChar w:fldCharType="end"/>
      </w:r>
    </w:p>
    <w:tbl>
      <w:tblPr>
        <w:tblStyle w:val="MittlereListe1"/>
        <w:tblW w:w="14567" w:type="dxa"/>
        <w:tblLook w:val="04A0" w:firstRow="1" w:lastRow="0" w:firstColumn="1" w:lastColumn="0" w:noHBand="0" w:noVBand="1"/>
      </w:tblPr>
      <w:tblGrid>
        <w:gridCol w:w="3242"/>
        <w:gridCol w:w="6109"/>
        <w:gridCol w:w="5216"/>
      </w:tblGrid>
      <w:tr w:rsidR="00E7158D" w14:paraId="6659103E" w14:textId="77777777" w:rsidTr="006C6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2" w:type="dxa"/>
          </w:tcPr>
          <w:p w14:paraId="57E3CDA7" w14:textId="77777777" w:rsidR="00E7158D" w:rsidRDefault="00E7158D" w:rsidP="008E6471">
            <w:r>
              <w:t>Artikel</w:t>
            </w:r>
          </w:p>
        </w:tc>
        <w:tc>
          <w:tcPr>
            <w:tcW w:w="6109" w:type="dxa"/>
          </w:tcPr>
          <w:p w14:paraId="59556186" w14:textId="77777777" w:rsidR="00E7158D" w:rsidRDefault="00E7158D" w:rsidP="008E6471">
            <w:pPr>
              <w:cnfStyle w:val="100000000000" w:firstRow="1" w:lastRow="0" w:firstColumn="0" w:lastColumn="0" w:oddVBand="0" w:evenVBand="0" w:oddHBand="0" w:evenHBand="0" w:firstRowFirstColumn="0" w:firstRowLastColumn="0" w:lastRowFirstColumn="0" w:lastRowLastColumn="0"/>
            </w:pPr>
            <w:r>
              <w:t>Bemerkung</w:t>
            </w:r>
          </w:p>
        </w:tc>
        <w:tc>
          <w:tcPr>
            <w:tcW w:w="5216" w:type="dxa"/>
          </w:tcPr>
          <w:p w14:paraId="3B8B3410" w14:textId="77777777" w:rsidR="00E7158D" w:rsidRDefault="00E7158D" w:rsidP="008E6471">
            <w:pPr>
              <w:cnfStyle w:val="100000000000" w:firstRow="1" w:lastRow="0" w:firstColumn="0" w:lastColumn="0" w:oddVBand="0" w:evenVBand="0" w:oddHBand="0" w:evenHBand="0" w:firstRowFirstColumn="0" w:firstRowLastColumn="0" w:lastRowFirstColumn="0" w:lastRowLastColumn="0"/>
            </w:pPr>
            <w:r>
              <w:t>Vorschlag</w:t>
            </w:r>
          </w:p>
        </w:tc>
      </w:tr>
      <w:tr w:rsidR="00E7158D" w14:paraId="420376CC" w14:textId="77777777" w:rsidTr="00460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2" w:type="dxa"/>
          </w:tcPr>
          <w:p w14:paraId="01D110D7" w14:textId="77777777" w:rsidR="00E7158D" w:rsidRDefault="00E7158D" w:rsidP="008E6471">
            <w:r>
              <w:t>Allgemeines</w:t>
            </w:r>
          </w:p>
        </w:tc>
        <w:tc>
          <w:tcPr>
            <w:tcW w:w="6109" w:type="dxa"/>
          </w:tcPr>
          <w:p w14:paraId="4C7FB450" w14:textId="6EDDE8D5" w:rsidR="001944C3" w:rsidRDefault="001944C3" w:rsidP="001944C3">
            <w:pPr>
              <w:cnfStyle w:val="000000100000" w:firstRow="0" w:lastRow="0" w:firstColumn="0" w:lastColumn="0" w:oddVBand="0" w:evenVBand="0" w:oddHBand="1" w:evenHBand="0" w:firstRowFirstColumn="0" w:firstRowLastColumn="0" w:lastRowFirstColumn="0" w:lastRowLastColumn="0"/>
            </w:pPr>
            <w:r>
              <w:t xml:space="preserve">Es ist bedauerlich, dass es den beiden Direktionen nicht gelungen ist, aufeinander abgestimmte Revisionsvorlagen zu erarbeiten. </w:t>
            </w:r>
            <w:r>
              <w:lastRenderedPageBreak/>
              <w:t xml:space="preserve">Weder wurden Begrifflichkeiten und Formulierungen vereinheitlicht, noch wurden Abläufe, Fristen, Abfederungsmechanismen und Übergangsbestimmungen harmonisiert. </w:t>
            </w:r>
            <w:r w:rsidR="00CC68A6">
              <w:br/>
            </w:r>
          </w:p>
          <w:p w14:paraId="5A354159" w14:textId="77777777" w:rsidR="001944C3" w:rsidRDefault="001944C3" w:rsidP="001944C3">
            <w:pPr>
              <w:cnfStyle w:val="000000100000" w:firstRow="0" w:lastRow="0" w:firstColumn="0" w:lastColumn="0" w:oddVBand="0" w:evenVBand="0" w:oddHBand="1" w:evenHBand="0" w:firstRowFirstColumn="0" w:firstRowLastColumn="0" w:lastRowFirstColumn="0" w:lastRowLastColumn="0"/>
            </w:pPr>
            <w:r>
              <w:t>An der Sitzung mit dem SOA, dem KJA, dem VBG und der BKSE wurde versprochen, dass die Liste mit finanziellen Auswirkungen sämtlicher Sozialdienste (Gesamtbetrachtung) im Rahmen der Konsultationen veröffentlicht wird. Dies wurde nicht gemacht. Wir bedauern die fehlende Transparenz.</w:t>
            </w:r>
          </w:p>
          <w:p w14:paraId="4818CD78" w14:textId="77777777" w:rsidR="001944C3" w:rsidRDefault="001944C3" w:rsidP="001944C3">
            <w:pPr>
              <w:cnfStyle w:val="000000100000" w:firstRow="0" w:lastRow="0" w:firstColumn="0" w:lastColumn="0" w:oddVBand="0" w:evenVBand="0" w:oddHBand="1" w:evenHBand="0" w:firstRowFirstColumn="0" w:firstRowLastColumn="0" w:lastRowFirstColumn="0" w:lastRowLastColumn="0"/>
            </w:pPr>
            <w:r>
              <w:t>Sowohl in den Bereichen der wirtschaftlichen Hilfe als auch im Kindes- und Erwachsenenschutz führen die</w:t>
            </w:r>
            <w:r w:rsidR="00811455">
              <w:t xml:space="preserve"> neuen Systeme zu Fehlanreizen. So wird i</w:t>
            </w:r>
            <w:r>
              <w:t xml:space="preserve">m Kindes- und Erwachsenenschutz bei </w:t>
            </w:r>
            <w:proofErr w:type="spellStart"/>
            <w:r>
              <w:t>unkooperativer</w:t>
            </w:r>
            <w:proofErr w:type="spellEnd"/>
            <w:r>
              <w:t xml:space="preserve"> Klientschaft voraussichtlich rascher eine behördliche Massnahme beantragt, statt lange auf die Bereitschaft für eine freiwillige Beratung hinzuwirken.</w:t>
            </w:r>
          </w:p>
          <w:p w14:paraId="7A8F6223" w14:textId="4E35F99F" w:rsidR="00B04BD7" w:rsidRDefault="00B04BD7" w:rsidP="001944C3">
            <w:pPr>
              <w:cnfStyle w:val="000000100000" w:firstRow="0" w:lastRow="0" w:firstColumn="0" w:lastColumn="0" w:oddVBand="0" w:evenVBand="0" w:oddHBand="1" w:evenHBand="0" w:firstRowFirstColumn="0" w:firstRowLastColumn="0" w:lastRowFirstColumn="0" w:lastRowLastColumn="0"/>
            </w:pPr>
            <w:r w:rsidRPr="00B04BD7">
              <w:t>Im Vortragstext wird darauf hingewiesen, dass durch die Einführung des neuen Systems mit keiner Abnahme der Qualität bei der Aufgabenerfüllung der Sozialdienste zu rechnen ist. Dem widersprechen wir entschieden.</w:t>
            </w:r>
            <w:r w:rsidR="001944C3" w:rsidRPr="00B04BD7">
              <w:t xml:space="preserve"> Die</w:t>
            </w:r>
            <w:r w:rsidR="001944C3">
              <w:t xml:space="preserve"> Pauschalen wurden aufgrund einer Fallbelastung von 100 Fällen au</w:t>
            </w:r>
            <w:r w:rsidR="00375183">
              <w:t>f 100 Stellenprozent berechnet.</w:t>
            </w:r>
            <w:r w:rsidR="000947D1">
              <w:t xml:space="preserve"> </w:t>
            </w:r>
            <w:r w:rsidR="001944C3">
              <w:t>Diese Fallbelastung ist klar zu hoch, um eine qualitativ hochstehende und professionelle Sozialarbeit zu gewähr</w:t>
            </w:r>
            <w:r>
              <w:t xml:space="preserve">leisten. </w:t>
            </w:r>
            <w:r w:rsidR="00752E18">
              <w:t>I</w:t>
            </w:r>
            <w:r w:rsidR="001944C3">
              <w:t>m Kindes- und Erwachsenenschutz</w:t>
            </w:r>
            <w:r>
              <w:t xml:space="preserve"> </w:t>
            </w:r>
            <w:r w:rsidR="001944C3">
              <w:t xml:space="preserve">immer komplexer und die Anforderungen sowie der administrative Aufwand immer grösser. </w:t>
            </w:r>
            <w:r>
              <w:t>Mit der Einführung des neuen KESG erhielten die Sozialdienste zusätzliche Aufgaben und teilweise haben KESB das ursprünglich vorgesehene Aufgabenportefeuille aus Ressourcengründen nicht vollumfänglich übernehmen können und an die Sozialdienste delegiert.</w:t>
            </w:r>
            <w:r w:rsidR="00375183">
              <w:br/>
              <w:t>Wir verweisen diesbezüglich auch auf Art. 400 Abs. 1 ZGB wo</w:t>
            </w:r>
            <w:r w:rsidR="00375183">
              <w:lastRenderedPageBreak/>
              <w:t xml:space="preserve">nach die Erwachsenenschutzbehörde als Beistand oder Beiständin einzusetzen hat, die nebst der persönlichen und fachlichen Eignung auch </w:t>
            </w:r>
            <w:r w:rsidR="00375183" w:rsidRPr="00375183">
              <w:rPr>
                <w:u w:val="single"/>
              </w:rPr>
              <w:t>die erforderliche</w:t>
            </w:r>
            <w:r w:rsidR="00375183">
              <w:t xml:space="preserve"> Zeit einsetzen kann!</w:t>
            </w:r>
          </w:p>
          <w:p w14:paraId="69B4C7FB" w14:textId="77777777" w:rsidR="00FC1FC8" w:rsidRDefault="00FC1FC8" w:rsidP="00FC1FC8">
            <w:pPr>
              <w:spacing w:after="60"/>
              <w:cnfStyle w:val="000000100000" w:firstRow="0" w:lastRow="0" w:firstColumn="0" w:lastColumn="0" w:oddVBand="0" w:evenVBand="0" w:oddHBand="1" w:evenHBand="0" w:firstRowFirstColumn="0" w:firstRowLastColumn="0" w:lastRowFirstColumn="0" w:lastRowLastColumn="0"/>
            </w:pPr>
            <w:r>
              <w:t>Im Vortrag</w:t>
            </w:r>
            <w:r w:rsidRPr="00FC1FC8">
              <w:t xml:space="preserve"> wird erwähnt, dass mit einer zu grossen Differenzierung in den Fallkategorien Zuordnungsschwierigkeiten entstehen. Wir sind der Ansicht, dass gerade eine etwas bessere Differenzierung Zuordnungsschwierigkeiten verhindert und zu einer faireren Abgeltung führt. Wir empfehlen deshalb die in nebenstehender Kolonne aufgeführten zusätzlichen Fallkategorien aufzunehmen.</w:t>
            </w:r>
          </w:p>
          <w:p w14:paraId="5768DE58" w14:textId="77777777" w:rsidR="00206BC9" w:rsidRDefault="00206BC9" w:rsidP="00206BC9">
            <w:pPr>
              <w:cnfStyle w:val="000000100000" w:firstRow="0" w:lastRow="0" w:firstColumn="0" w:lastColumn="0" w:oddVBand="0" w:evenVBand="0" w:oddHBand="1" w:evenHBand="0" w:firstRowFirstColumn="0" w:firstRowLastColumn="0" w:lastRowFirstColumn="0" w:lastRowLastColumn="0"/>
            </w:pPr>
            <w:r>
              <w:t>Bei</w:t>
            </w:r>
            <w:r w:rsidRPr="00FC1FC8">
              <w:t xml:space="preserve"> der </w:t>
            </w:r>
            <w:r>
              <w:t xml:space="preserve">im Vortrag </w:t>
            </w:r>
            <w:r w:rsidRPr="00FC1FC8">
              <w:t xml:space="preserve">erwähnten Expertise von Urs Vogel bemängeln wir, dass zur Festlegung des Aufwandes ausschliesslich ausserkantonale Daten verwendet wurden. Für diverse Fallkategorien liegen überhaupt keine systematischen Erhebungen oder Vergleichszahlen vor. Die Herleitung des Aufwandes in gewissen Fallkategorien scheint uns daher fragwürdig, zumal </w:t>
            </w:r>
            <w:r>
              <w:t xml:space="preserve">beispielsweise </w:t>
            </w:r>
            <w:r w:rsidRPr="00FC1FC8">
              <w:t xml:space="preserve">die Stadt Biel über ein Fallgewichtungsinstrument verfügt, welches vom selben Urs Vogel im Auftrag der Schweizerischen Vereinigung der Berufsbeistände und </w:t>
            </w:r>
            <w:proofErr w:type="spellStart"/>
            <w:r w:rsidRPr="00FC1FC8">
              <w:t>Berufsbeiständinnen</w:t>
            </w:r>
            <w:proofErr w:type="spellEnd"/>
            <w:r w:rsidRPr="00FC1FC8">
              <w:t xml:space="preserve"> SVBB evaluiert und als praxistauglich befunden wurde. Die aus diesem Instrument resultierenden Durchschnittsbetrachtungen der Aufwände sind anlässlich der verschiedenen Arbeitsgruppensitzungen von der BKSE zwar punktuell eingebracht worden, wurden jedoch bei der definitiven Festlegung der Fallabgeltungen seitens des zuständigen Kantonalen Jugendamts nicht in die Überlegungen einbezogen. Dies lässt den Eindruck entstehen, dass das System mit ausschliesslichem Fokus auf finanzpolitische Aspekte und nicht mit dem Ziel eine tatsächliche Abgeltung des Aufwandes der Sozialdienste zu realisieren, entwickelt wurde</w:t>
            </w:r>
            <w:r>
              <w:t>.</w:t>
            </w:r>
          </w:p>
          <w:p w14:paraId="6D26C0F7" w14:textId="77777777" w:rsidR="001944C3" w:rsidRDefault="001944C3" w:rsidP="001944C3">
            <w:pPr>
              <w:cnfStyle w:val="000000100000" w:firstRow="0" w:lastRow="0" w:firstColumn="0" w:lastColumn="0" w:oddVBand="0" w:evenVBand="0" w:oddHBand="1" w:evenHBand="0" w:firstRowFirstColumn="0" w:firstRowLastColumn="0" w:lastRowFirstColumn="0" w:lastRowLastColumn="0"/>
            </w:pPr>
            <w:r>
              <w:t>Absolut nicht einverstanden sind wir damit, dass</w:t>
            </w:r>
            <w:r w:rsidR="00903CA1">
              <w:t xml:space="preserve"> gemäss SHV-Revisionsvorlage</w:t>
            </w:r>
            <w:r>
              <w:t xml:space="preserve"> die Löhne für Praktikantinnen und Praktikanten in </w:t>
            </w:r>
            <w:r>
              <w:lastRenderedPageBreak/>
              <w:t xml:space="preserve">den Fallpauschalen mitfinanziert sein sollen. Dies ist bildungspolitisch fragwürdig. Die Sozialdienste müssen einen Anreiz haben, Ausbildungsplätze anzubieten und zumindest der zusätzliche Lohnaufwand für Praktikantinnen und Praktikanten muss separat abgerechnet werden können. </w:t>
            </w:r>
          </w:p>
          <w:p w14:paraId="1614A5BF" w14:textId="77777777" w:rsidR="006A0488" w:rsidRDefault="001944C3" w:rsidP="001944C3">
            <w:pPr>
              <w:cnfStyle w:val="000000100000" w:firstRow="0" w:lastRow="0" w:firstColumn="0" w:lastColumn="0" w:oddVBand="0" w:evenVBand="0" w:oddHBand="1" w:evenHBand="0" w:firstRowFirstColumn="0" w:firstRowLastColumn="0" w:lastRowFirstColumn="0" w:lastRowLastColumn="0"/>
            </w:pPr>
            <w:r>
              <w:t>Ebenfalls haben wir kein Verständnis dafür, dass bei der Finanzierung der präventiven Fälle bisher keine einvernehmliche Lösung gefunden wurde. Wir sind klar der Meinung, dass präventive Fälle im Kindes- und Erwachsenenschutz in der ZAV geregelt werden und vom Kanton entschädigt werden müssen.</w:t>
            </w:r>
          </w:p>
          <w:p w14:paraId="428679B2" w14:textId="55A3B11A" w:rsidR="00CC68A6" w:rsidRDefault="00CC68A6" w:rsidP="00CC68A6">
            <w:pPr>
              <w:cnfStyle w:val="000000100000" w:firstRow="0" w:lastRow="0" w:firstColumn="0" w:lastColumn="0" w:oddVBand="0" w:evenVBand="0" w:oddHBand="1" w:evenHBand="0" w:firstRowFirstColumn="0" w:firstRowLastColumn="0" w:lastRowFirstColumn="0" w:lastRowLastColumn="0"/>
            </w:pPr>
            <w:r>
              <w:t xml:space="preserve">Mit der Zählung der Mandate per Stichtag sind wir nicht </w:t>
            </w:r>
            <w:r w:rsidR="00935263">
              <w:t>einverstanden</w:t>
            </w:r>
            <w:r>
              <w:t>. Unsere Erhebungen haben gezeigt, dass die Zahlen sehr unterschiedlich sind, je nachdem ob das Stichtagsmodell oder die Jahreszahlen gewählt werden. Fälle, die im Verlaufe des Jahres aufgenommen oder abgeschlossen werden, geben aufgrund der Initial- bzw. Abschlussarbeiten mindestens gleich viel Aufwand wie laufende Fälle, die am Stichtag aktiv sind und sind entsprechend zu entschädigen. Zudem ist eine andere Zählweise als bei der Sozialhilfe oder bei den übrigen Fallpauschalen im Kindes- und Erwachsenenschutzbereich nicht nachvollziehbar.</w:t>
            </w:r>
          </w:p>
          <w:p w14:paraId="02C5AC42" w14:textId="4239DA40" w:rsidR="00CC68A6" w:rsidRDefault="00CC68A6" w:rsidP="00CC68A6">
            <w:pPr>
              <w:cnfStyle w:val="000000100000" w:firstRow="0" w:lastRow="0" w:firstColumn="0" w:lastColumn="0" w:oddVBand="0" w:evenVBand="0" w:oddHBand="1" w:evenHBand="0" w:firstRowFirstColumn="0" w:firstRowLastColumn="0" w:lastRowFirstColumn="0" w:lastRowLastColumn="0"/>
            </w:pPr>
            <w:r>
              <w:t xml:space="preserve">In der Verordnung ist zu definieren, wann ein Fall als abgeschlossen gilt und von den Sozialdiensten nicht mehr gezählt werden kann. Wir gehen davon aus, dass dies bei den Mandaten zum Zeitpunkt der Genehmigung des Schlussberichtes durch die KESB der Fall ist, da bis zu diesem Zeitpunkt der/die Mandatstragende noch in der Verantwortung bleibt. </w:t>
            </w:r>
          </w:p>
        </w:tc>
        <w:tc>
          <w:tcPr>
            <w:tcW w:w="5216" w:type="dxa"/>
          </w:tcPr>
          <w:p w14:paraId="1C63FDB1" w14:textId="77777777" w:rsidR="00687B21" w:rsidRDefault="00687B21" w:rsidP="00687B21">
            <w:pPr>
              <w:cnfStyle w:val="000000100000" w:firstRow="0" w:lastRow="0" w:firstColumn="0" w:lastColumn="0" w:oddVBand="0" w:evenVBand="0" w:oddHBand="1" w:evenHBand="0" w:firstRowFirstColumn="0" w:firstRowLastColumn="0" w:lastRowFirstColumn="0" w:lastRowLastColumn="0"/>
            </w:pPr>
            <w:r>
              <w:lastRenderedPageBreak/>
              <w:t>Wir erwarten dringend eine umfassende Überarbeitung!</w:t>
            </w:r>
          </w:p>
          <w:p w14:paraId="746E226F" w14:textId="0257B248" w:rsidR="001944C3" w:rsidRPr="00AF219F" w:rsidRDefault="00687B21" w:rsidP="001944C3">
            <w:pPr>
              <w:cnfStyle w:val="000000100000" w:firstRow="0" w:lastRow="0" w:firstColumn="0" w:lastColumn="0" w:oddVBand="0" w:evenVBand="0" w:oddHBand="1" w:evenHBand="0" w:firstRowFirstColumn="0" w:firstRowLastColumn="0" w:lastRowFirstColumn="0" w:lastRowLastColumn="0"/>
            </w:pPr>
            <w:r>
              <w:lastRenderedPageBreak/>
              <w:t>Zude</w:t>
            </w:r>
            <w:r w:rsidR="001944C3" w:rsidRPr="00AF219F">
              <w:t>m ist in beiden Vorlagen und in den Vorträgen der Begriff “Fallpauschale” bzw. “Pauschale” statt “Vo</w:t>
            </w:r>
            <w:r w:rsidR="00FC1FC8">
              <w:t>llkostenpauschale” zu verwenden, da die Infrastrukturkosten explizit nicht inbegriffen sind.</w:t>
            </w:r>
          </w:p>
          <w:p w14:paraId="732D4829" w14:textId="77777777" w:rsidR="00903CA1" w:rsidRDefault="00903CA1" w:rsidP="001944C3">
            <w:pPr>
              <w:cnfStyle w:val="000000100000" w:firstRow="0" w:lastRow="0" w:firstColumn="0" w:lastColumn="0" w:oddVBand="0" w:evenVBand="0" w:oddHBand="1" w:evenHBand="0" w:firstRowFirstColumn="0" w:firstRowLastColumn="0" w:lastRowFirstColumn="0" w:lastRowLastColumn="0"/>
            </w:pPr>
          </w:p>
          <w:p w14:paraId="2B363D97" w14:textId="77777777" w:rsidR="00903CA1" w:rsidRDefault="00903CA1" w:rsidP="001944C3">
            <w:pPr>
              <w:cnfStyle w:val="000000100000" w:firstRow="0" w:lastRow="0" w:firstColumn="0" w:lastColumn="0" w:oddVBand="0" w:evenVBand="0" w:oddHBand="1" w:evenHBand="0" w:firstRowFirstColumn="0" w:firstRowLastColumn="0" w:lastRowFirstColumn="0" w:lastRowLastColumn="0"/>
            </w:pPr>
          </w:p>
          <w:p w14:paraId="5AE58486" w14:textId="77777777" w:rsidR="00903CA1" w:rsidRDefault="00903CA1" w:rsidP="001944C3">
            <w:pPr>
              <w:cnfStyle w:val="000000100000" w:firstRow="0" w:lastRow="0" w:firstColumn="0" w:lastColumn="0" w:oddVBand="0" w:evenVBand="0" w:oddHBand="1" w:evenHBand="0" w:firstRowFirstColumn="0" w:firstRowLastColumn="0" w:lastRowFirstColumn="0" w:lastRowLastColumn="0"/>
            </w:pPr>
          </w:p>
          <w:p w14:paraId="3219EB23" w14:textId="77777777" w:rsidR="00903CA1" w:rsidRDefault="00903CA1" w:rsidP="001944C3">
            <w:pPr>
              <w:cnfStyle w:val="000000100000" w:firstRow="0" w:lastRow="0" w:firstColumn="0" w:lastColumn="0" w:oddVBand="0" w:evenVBand="0" w:oddHBand="1" w:evenHBand="0" w:firstRowFirstColumn="0" w:firstRowLastColumn="0" w:lastRowFirstColumn="0" w:lastRowLastColumn="0"/>
            </w:pPr>
          </w:p>
          <w:p w14:paraId="275E6B1E" w14:textId="77777777" w:rsidR="00903CA1" w:rsidRDefault="00903CA1" w:rsidP="001944C3">
            <w:pPr>
              <w:cnfStyle w:val="000000100000" w:firstRow="0" w:lastRow="0" w:firstColumn="0" w:lastColumn="0" w:oddVBand="0" w:evenVBand="0" w:oddHBand="1" w:evenHBand="0" w:firstRowFirstColumn="0" w:firstRowLastColumn="0" w:lastRowFirstColumn="0" w:lastRowLastColumn="0"/>
            </w:pPr>
          </w:p>
          <w:p w14:paraId="6C4029B9" w14:textId="77777777" w:rsidR="00903CA1" w:rsidRDefault="00903CA1" w:rsidP="001944C3">
            <w:pPr>
              <w:cnfStyle w:val="000000100000" w:firstRow="0" w:lastRow="0" w:firstColumn="0" w:lastColumn="0" w:oddVBand="0" w:evenVBand="0" w:oddHBand="1" w:evenHBand="0" w:firstRowFirstColumn="0" w:firstRowLastColumn="0" w:lastRowFirstColumn="0" w:lastRowLastColumn="0"/>
            </w:pPr>
          </w:p>
          <w:p w14:paraId="748D9783" w14:textId="77777777" w:rsidR="00903CA1" w:rsidRDefault="00903CA1" w:rsidP="001944C3">
            <w:pPr>
              <w:cnfStyle w:val="000000100000" w:firstRow="0" w:lastRow="0" w:firstColumn="0" w:lastColumn="0" w:oddVBand="0" w:evenVBand="0" w:oddHBand="1" w:evenHBand="0" w:firstRowFirstColumn="0" w:firstRowLastColumn="0" w:lastRowFirstColumn="0" w:lastRowLastColumn="0"/>
            </w:pPr>
          </w:p>
          <w:p w14:paraId="76FA7FC9" w14:textId="77777777" w:rsidR="00903CA1" w:rsidRDefault="00903CA1" w:rsidP="001944C3">
            <w:pPr>
              <w:cnfStyle w:val="000000100000" w:firstRow="0" w:lastRow="0" w:firstColumn="0" w:lastColumn="0" w:oddVBand="0" w:evenVBand="0" w:oddHBand="1" w:evenHBand="0" w:firstRowFirstColumn="0" w:firstRowLastColumn="0" w:lastRowFirstColumn="0" w:lastRowLastColumn="0"/>
            </w:pPr>
          </w:p>
          <w:p w14:paraId="03054453" w14:textId="77777777" w:rsidR="00903CA1" w:rsidRDefault="00903CA1" w:rsidP="001944C3">
            <w:pPr>
              <w:cnfStyle w:val="000000100000" w:firstRow="0" w:lastRow="0" w:firstColumn="0" w:lastColumn="0" w:oddVBand="0" w:evenVBand="0" w:oddHBand="1" w:evenHBand="0" w:firstRowFirstColumn="0" w:firstRowLastColumn="0" w:lastRowFirstColumn="0" w:lastRowLastColumn="0"/>
            </w:pPr>
          </w:p>
          <w:p w14:paraId="7C1AD2D4" w14:textId="77777777" w:rsidR="00903CA1" w:rsidRDefault="00903CA1" w:rsidP="001944C3">
            <w:pPr>
              <w:cnfStyle w:val="000000100000" w:firstRow="0" w:lastRow="0" w:firstColumn="0" w:lastColumn="0" w:oddVBand="0" w:evenVBand="0" w:oddHBand="1" w:evenHBand="0" w:firstRowFirstColumn="0" w:firstRowLastColumn="0" w:lastRowFirstColumn="0" w:lastRowLastColumn="0"/>
            </w:pPr>
          </w:p>
          <w:p w14:paraId="2C171571" w14:textId="77777777" w:rsidR="00903CA1" w:rsidRDefault="00903CA1" w:rsidP="001944C3">
            <w:pPr>
              <w:cnfStyle w:val="000000100000" w:firstRow="0" w:lastRow="0" w:firstColumn="0" w:lastColumn="0" w:oddVBand="0" w:evenVBand="0" w:oddHBand="1" w:evenHBand="0" w:firstRowFirstColumn="0" w:firstRowLastColumn="0" w:lastRowFirstColumn="0" w:lastRowLastColumn="0"/>
            </w:pPr>
          </w:p>
          <w:p w14:paraId="0C9E555D" w14:textId="77777777" w:rsidR="00903CA1" w:rsidRDefault="00903CA1" w:rsidP="001944C3">
            <w:pPr>
              <w:cnfStyle w:val="000000100000" w:firstRow="0" w:lastRow="0" w:firstColumn="0" w:lastColumn="0" w:oddVBand="0" w:evenVBand="0" w:oddHBand="1" w:evenHBand="0" w:firstRowFirstColumn="0" w:firstRowLastColumn="0" w:lastRowFirstColumn="0" w:lastRowLastColumn="0"/>
            </w:pPr>
          </w:p>
          <w:p w14:paraId="313D84F0" w14:textId="77777777" w:rsidR="00903CA1" w:rsidRDefault="00903CA1" w:rsidP="001944C3">
            <w:pPr>
              <w:cnfStyle w:val="000000100000" w:firstRow="0" w:lastRow="0" w:firstColumn="0" w:lastColumn="0" w:oddVBand="0" w:evenVBand="0" w:oddHBand="1" w:evenHBand="0" w:firstRowFirstColumn="0" w:firstRowLastColumn="0" w:lastRowFirstColumn="0" w:lastRowLastColumn="0"/>
            </w:pPr>
          </w:p>
          <w:p w14:paraId="2021AEDA" w14:textId="77777777" w:rsidR="00903CA1" w:rsidRDefault="00903CA1" w:rsidP="001944C3">
            <w:pPr>
              <w:cnfStyle w:val="000000100000" w:firstRow="0" w:lastRow="0" w:firstColumn="0" w:lastColumn="0" w:oddVBand="0" w:evenVBand="0" w:oddHBand="1" w:evenHBand="0" w:firstRowFirstColumn="0" w:firstRowLastColumn="0" w:lastRowFirstColumn="0" w:lastRowLastColumn="0"/>
            </w:pPr>
          </w:p>
          <w:p w14:paraId="473D957F" w14:textId="77777777" w:rsidR="00903CA1" w:rsidRDefault="00903CA1" w:rsidP="001944C3">
            <w:pPr>
              <w:cnfStyle w:val="000000100000" w:firstRow="0" w:lastRow="0" w:firstColumn="0" w:lastColumn="0" w:oddVBand="0" w:evenVBand="0" w:oddHBand="1" w:evenHBand="0" w:firstRowFirstColumn="0" w:firstRowLastColumn="0" w:lastRowFirstColumn="0" w:lastRowLastColumn="0"/>
            </w:pPr>
          </w:p>
          <w:p w14:paraId="209CFABC" w14:textId="77777777" w:rsidR="00FC1FC8" w:rsidRDefault="00FC1FC8" w:rsidP="00903CA1">
            <w:pPr>
              <w:cnfStyle w:val="000000100000" w:firstRow="0" w:lastRow="0" w:firstColumn="0" w:lastColumn="0" w:oddVBand="0" w:evenVBand="0" w:oddHBand="1" w:evenHBand="0" w:firstRowFirstColumn="0" w:firstRowLastColumn="0" w:lastRowFirstColumn="0" w:lastRowLastColumn="0"/>
            </w:pPr>
          </w:p>
          <w:p w14:paraId="2FF8B004" w14:textId="77777777" w:rsidR="00C07632" w:rsidRDefault="00C07632" w:rsidP="00903CA1">
            <w:pPr>
              <w:cnfStyle w:val="000000100000" w:firstRow="0" w:lastRow="0" w:firstColumn="0" w:lastColumn="0" w:oddVBand="0" w:evenVBand="0" w:oddHBand="1" w:evenHBand="0" w:firstRowFirstColumn="0" w:firstRowLastColumn="0" w:lastRowFirstColumn="0" w:lastRowLastColumn="0"/>
            </w:pPr>
          </w:p>
          <w:p w14:paraId="07B62CA5" w14:textId="77777777" w:rsidR="00375183" w:rsidRDefault="00375183" w:rsidP="00903CA1">
            <w:pPr>
              <w:cnfStyle w:val="000000100000" w:firstRow="0" w:lastRow="0" w:firstColumn="0" w:lastColumn="0" w:oddVBand="0" w:evenVBand="0" w:oddHBand="1" w:evenHBand="0" w:firstRowFirstColumn="0" w:firstRowLastColumn="0" w:lastRowFirstColumn="0" w:lastRowLastColumn="0"/>
            </w:pPr>
          </w:p>
          <w:p w14:paraId="4180FC65" w14:textId="77777777" w:rsidR="00CC68A6" w:rsidRDefault="00CC68A6" w:rsidP="00903CA1">
            <w:pPr>
              <w:cnfStyle w:val="000000100000" w:firstRow="0" w:lastRow="0" w:firstColumn="0" w:lastColumn="0" w:oddVBand="0" w:evenVBand="0" w:oddHBand="1" w:evenHBand="0" w:firstRowFirstColumn="0" w:firstRowLastColumn="0" w:lastRowFirstColumn="0" w:lastRowLastColumn="0"/>
            </w:pPr>
          </w:p>
          <w:p w14:paraId="0C5F8AEE" w14:textId="77777777" w:rsidR="00CC68A6" w:rsidRDefault="00CC68A6" w:rsidP="00903CA1">
            <w:pPr>
              <w:cnfStyle w:val="000000100000" w:firstRow="0" w:lastRow="0" w:firstColumn="0" w:lastColumn="0" w:oddVBand="0" w:evenVBand="0" w:oddHBand="1" w:evenHBand="0" w:firstRowFirstColumn="0" w:firstRowLastColumn="0" w:lastRowFirstColumn="0" w:lastRowLastColumn="0"/>
            </w:pPr>
          </w:p>
          <w:p w14:paraId="414BD0B8" w14:textId="77777777" w:rsidR="008D10DF" w:rsidRDefault="00903CA1" w:rsidP="00903CA1">
            <w:pPr>
              <w:cnfStyle w:val="000000100000" w:firstRow="0" w:lastRow="0" w:firstColumn="0" w:lastColumn="0" w:oddVBand="0" w:evenVBand="0" w:oddHBand="1" w:evenHBand="0" w:firstRowFirstColumn="0" w:firstRowLastColumn="0" w:lastRowFirstColumn="0" w:lastRowLastColumn="0"/>
            </w:pPr>
            <w:r w:rsidRPr="00FC1FC8">
              <w:t>Erwachsenenschutz:</w:t>
            </w:r>
            <w:r w:rsidRPr="00FC1FC8">
              <w:br/>
              <w:t>- Beistandschaften mit Vermögensverwaltung</w:t>
            </w:r>
            <w:r w:rsidRPr="00FC1FC8">
              <w:br/>
              <w:t>- Beistandschaften ohne Vermögensverwaltung</w:t>
            </w:r>
            <w:r w:rsidRPr="00FC1FC8">
              <w:br/>
              <w:t>- Vollzug von FU Massnahmen</w:t>
            </w:r>
            <w:r w:rsidRPr="00FC1FC8">
              <w:br/>
              <w:t>Kindesschutz:</w:t>
            </w:r>
            <w:r w:rsidRPr="00FC1FC8">
              <w:br/>
              <w:t>- Platzierungen von Kindern gem. Art. 310 ZGB</w:t>
            </w:r>
            <w:r w:rsidR="00B419E6">
              <w:br/>
              <w:t xml:space="preserve">Weitere Tätigkeiten: </w:t>
            </w:r>
            <w:r w:rsidR="00B419E6">
              <w:br/>
              <w:t xml:space="preserve">- Inkasso von </w:t>
            </w:r>
            <w:proofErr w:type="spellStart"/>
            <w:r w:rsidR="00B419E6">
              <w:t>Massnahmekosten</w:t>
            </w:r>
            <w:proofErr w:type="spellEnd"/>
            <w:r w:rsidR="008D10DF">
              <w:br/>
              <w:t>- Inventaraufnahme</w:t>
            </w:r>
          </w:p>
          <w:p w14:paraId="1492F531" w14:textId="77777777" w:rsidR="00EA0C65" w:rsidRDefault="00EA0C65" w:rsidP="00903CA1">
            <w:pPr>
              <w:cnfStyle w:val="000000100000" w:firstRow="0" w:lastRow="0" w:firstColumn="0" w:lastColumn="0" w:oddVBand="0" w:evenVBand="0" w:oddHBand="1" w:evenHBand="0" w:firstRowFirstColumn="0" w:firstRowLastColumn="0" w:lastRowFirstColumn="0" w:lastRowLastColumn="0"/>
            </w:pPr>
          </w:p>
          <w:p w14:paraId="64D5242D" w14:textId="77777777" w:rsidR="00EA0C65" w:rsidRDefault="00EA0C65" w:rsidP="00903CA1">
            <w:pPr>
              <w:cnfStyle w:val="000000100000" w:firstRow="0" w:lastRow="0" w:firstColumn="0" w:lastColumn="0" w:oddVBand="0" w:evenVBand="0" w:oddHBand="1" w:evenHBand="0" w:firstRowFirstColumn="0" w:firstRowLastColumn="0" w:lastRowFirstColumn="0" w:lastRowLastColumn="0"/>
            </w:pPr>
          </w:p>
          <w:p w14:paraId="5FD9C835" w14:textId="77777777" w:rsidR="00EA0C65" w:rsidRDefault="00EA0C65" w:rsidP="00903CA1">
            <w:pPr>
              <w:cnfStyle w:val="000000100000" w:firstRow="0" w:lastRow="0" w:firstColumn="0" w:lastColumn="0" w:oddVBand="0" w:evenVBand="0" w:oddHBand="1" w:evenHBand="0" w:firstRowFirstColumn="0" w:firstRowLastColumn="0" w:lastRowFirstColumn="0" w:lastRowLastColumn="0"/>
            </w:pPr>
          </w:p>
          <w:p w14:paraId="40E28EBE" w14:textId="77777777" w:rsidR="00EA0C65" w:rsidRDefault="00EA0C65" w:rsidP="00903CA1">
            <w:pPr>
              <w:cnfStyle w:val="000000100000" w:firstRow="0" w:lastRow="0" w:firstColumn="0" w:lastColumn="0" w:oddVBand="0" w:evenVBand="0" w:oddHBand="1" w:evenHBand="0" w:firstRowFirstColumn="0" w:firstRowLastColumn="0" w:lastRowFirstColumn="0" w:lastRowLastColumn="0"/>
            </w:pPr>
          </w:p>
          <w:p w14:paraId="4E8AE1AB" w14:textId="77777777" w:rsidR="00EA0C65" w:rsidRDefault="00EA0C65" w:rsidP="00903CA1">
            <w:pPr>
              <w:cnfStyle w:val="000000100000" w:firstRow="0" w:lastRow="0" w:firstColumn="0" w:lastColumn="0" w:oddVBand="0" w:evenVBand="0" w:oddHBand="1" w:evenHBand="0" w:firstRowFirstColumn="0" w:firstRowLastColumn="0" w:lastRowFirstColumn="0" w:lastRowLastColumn="0"/>
            </w:pPr>
          </w:p>
          <w:p w14:paraId="4100445F" w14:textId="77777777" w:rsidR="00EA0C65" w:rsidRDefault="00EA0C65" w:rsidP="00903CA1">
            <w:pPr>
              <w:cnfStyle w:val="000000100000" w:firstRow="0" w:lastRow="0" w:firstColumn="0" w:lastColumn="0" w:oddVBand="0" w:evenVBand="0" w:oddHBand="1" w:evenHBand="0" w:firstRowFirstColumn="0" w:firstRowLastColumn="0" w:lastRowFirstColumn="0" w:lastRowLastColumn="0"/>
            </w:pPr>
          </w:p>
          <w:p w14:paraId="53D4BEA8" w14:textId="77777777" w:rsidR="00EA0C65" w:rsidRDefault="00EA0C65" w:rsidP="00903CA1">
            <w:pPr>
              <w:cnfStyle w:val="000000100000" w:firstRow="0" w:lastRow="0" w:firstColumn="0" w:lastColumn="0" w:oddVBand="0" w:evenVBand="0" w:oddHBand="1" w:evenHBand="0" w:firstRowFirstColumn="0" w:firstRowLastColumn="0" w:lastRowFirstColumn="0" w:lastRowLastColumn="0"/>
            </w:pPr>
          </w:p>
          <w:p w14:paraId="486196F1" w14:textId="77777777" w:rsidR="00CC68A6" w:rsidRDefault="00CC68A6" w:rsidP="00903CA1">
            <w:pPr>
              <w:cnfStyle w:val="000000100000" w:firstRow="0" w:lastRow="0" w:firstColumn="0" w:lastColumn="0" w:oddVBand="0" w:evenVBand="0" w:oddHBand="1" w:evenHBand="0" w:firstRowFirstColumn="0" w:firstRowLastColumn="0" w:lastRowFirstColumn="0" w:lastRowLastColumn="0"/>
            </w:pPr>
          </w:p>
          <w:p w14:paraId="45170BCF" w14:textId="2A4D5AB8" w:rsidR="00EA0C65" w:rsidRDefault="00CC68A6" w:rsidP="00903CA1">
            <w:pPr>
              <w:cnfStyle w:val="000000100000" w:firstRow="0" w:lastRow="0" w:firstColumn="0" w:lastColumn="0" w:oddVBand="0" w:evenVBand="0" w:oddHBand="1" w:evenHBand="0" w:firstRowFirstColumn="0" w:firstRowLastColumn="0" w:lastRowFirstColumn="0" w:lastRowLastColumn="0"/>
            </w:pPr>
            <w:r>
              <w:t>Separate Vergütung der Praktikumslöhne</w:t>
            </w:r>
          </w:p>
          <w:p w14:paraId="72855008" w14:textId="77777777" w:rsidR="00C07632" w:rsidRDefault="00C07632" w:rsidP="00903CA1">
            <w:pPr>
              <w:cnfStyle w:val="000000100000" w:firstRow="0" w:lastRow="0" w:firstColumn="0" w:lastColumn="0" w:oddVBand="0" w:evenVBand="0" w:oddHBand="1" w:evenHBand="0" w:firstRowFirstColumn="0" w:firstRowLastColumn="0" w:lastRowFirstColumn="0" w:lastRowLastColumn="0"/>
            </w:pPr>
          </w:p>
          <w:p w14:paraId="7F5C4727" w14:textId="77777777" w:rsidR="00C07632" w:rsidRDefault="00C07632" w:rsidP="00903CA1">
            <w:pPr>
              <w:cnfStyle w:val="000000100000" w:firstRow="0" w:lastRow="0" w:firstColumn="0" w:lastColumn="0" w:oddVBand="0" w:evenVBand="0" w:oddHBand="1" w:evenHBand="0" w:firstRowFirstColumn="0" w:firstRowLastColumn="0" w:lastRowFirstColumn="0" w:lastRowLastColumn="0"/>
            </w:pPr>
          </w:p>
          <w:p w14:paraId="62E86428" w14:textId="77777777" w:rsidR="00CC68A6" w:rsidRDefault="00CC68A6" w:rsidP="00903CA1">
            <w:pPr>
              <w:cnfStyle w:val="000000100000" w:firstRow="0" w:lastRow="0" w:firstColumn="0" w:lastColumn="0" w:oddVBand="0" w:evenVBand="0" w:oddHBand="1" w:evenHBand="0" w:firstRowFirstColumn="0" w:firstRowLastColumn="0" w:lastRowFirstColumn="0" w:lastRowLastColumn="0"/>
            </w:pPr>
          </w:p>
          <w:p w14:paraId="122293F0" w14:textId="77777777" w:rsidR="00C07632" w:rsidRDefault="00C07632" w:rsidP="00903CA1">
            <w:pPr>
              <w:cnfStyle w:val="000000100000" w:firstRow="0" w:lastRow="0" w:firstColumn="0" w:lastColumn="0" w:oddVBand="0" w:evenVBand="0" w:oddHBand="1" w:evenHBand="0" w:firstRowFirstColumn="0" w:firstRowLastColumn="0" w:lastRowFirstColumn="0" w:lastRowLastColumn="0"/>
            </w:pPr>
          </w:p>
          <w:p w14:paraId="202CD307" w14:textId="77777777" w:rsidR="00EA0C65" w:rsidRDefault="00EA0C65" w:rsidP="00903CA1">
            <w:pPr>
              <w:cnfStyle w:val="000000100000" w:firstRow="0" w:lastRow="0" w:firstColumn="0" w:lastColumn="0" w:oddVBand="0" w:evenVBand="0" w:oddHBand="1" w:evenHBand="0" w:firstRowFirstColumn="0" w:firstRowLastColumn="0" w:lastRowFirstColumn="0" w:lastRowLastColumn="0"/>
            </w:pPr>
            <w:r>
              <w:t xml:space="preserve">Regelung der präventiven Fälle in der ZAV. Fallpauschale und ohne Plafonierung. </w:t>
            </w:r>
          </w:p>
          <w:p w14:paraId="749E1D68" w14:textId="77777777" w:rsidR="00E7158D" w:rsidRDefault="00E7158D" w:rsidP="008E6471">
            <w:pPr>
              <w:cnfStyle w:val="000000100000" w:firstRow="0" w:lastRow="0" w:firstColumn="0" w:lastColumn="0" w:oddVBand="0" w:evenVBand="0" w:oddHBand="1" w:evenHBand="0" w:firstRowFirstColumn="0" w:firstRowLastColumn="0" w:lastRowFirstColumn="0" w:lastRowLastColumn="0"/>
            </w:pPr>
          </w:p>
          <w:p w14:paraId="70DB1371" w14:textId="77777777" w:rsidR="00CC68A6" w:rsidRDefault="00CC68A6" w:rsidP="008E6471">
            <w:pPr>
              <w:cnfStyle w:val="000000100000" w:firstRow="0" w:lastRow="0" w:firstColumn="0" w:lastColumn="0" w:oddVBand="0" w:evenVBand="0" w:oddHBand="1" w:evenHBand="0" w:firstRowFirstColumn="0" w:firstRowLastColumn="0" w:lastRowFirstColumn="0" w:lastRowLastColumn="0"/>
            </w:pPr>
          </w:p>
          <w:p w14:paraId="1F85CF36" w14:textId="77777777" w:rsidR="00CC68A6" w:rsidRDefault="00CC68A6" w:rsidP="008E6471">
            <w:pPr>
              <w:cnfStyle w:val="000000100000" w:firstRow="0" w:lastRow="0" w:firstColumn="0" w:lastColumn="0" w:oddVBand="0" w:evenVBand="0" w:oddHBand="1" w:evenHBand="0" w:firstRowFirstColumn="0" w:firstRowLastColumn="0" w:lastRowFirstColumn="0" w:lastRowLastColumn="0"/>
            </w:pPr>
          </w:p>
          <w:p w14:paraId="06BEC110" w14:textId="77777777" w:rsidR="00CC68A6" w:rsidRDefault="00CC68A6" w:rsidP="008E6471">
            <w:pPr>
              <w:cnfStyle w:val="000000100000" w:firstRow="0" w:lastRow="0" w:firstColumn="0" w:lastColumn="0" w:oddVBand="0" w:evenVBand="0" w:oddHBand="1" w:evenHBand="0" w:firstRowFirstColumn="0" w:firstRowLastColumn="0" w:lastRowFirstColumn="0" w:lastRowLastColumn="0"/>
            </w:pPr>
            <w:r>
              <w:t>Streichung von Art. 7 Abs. 2</w:t>
            </w:r>
          </w:p>
          <w:p w14:paraId="4AA99C48" w14:textId="77777777" w:rsidR="00CC68A6" w:rsidRDefault="00CC68A6" w:rsidP="008E6471">
            <w:pPr>
              <w:cnfStyle w:val="000000100000" w:firstRow="0" w:lastRow="0" w:firstColumn="0" w:lastColumn="0" w:oddVBand="0" w:evenVBand="0" w:oddHBand="1" w:evenHBand="0" w:firstRowFirstColumn="0" w:firstRowLastColumn="0" w:lastRowFirstColumn="0" w:lastRowLastColumn="0"/>
            </w:pPr>
          </w:p>
          <w:p w14:paraId="67DD5158" w14:textId="77777777" w:rsidR="00CC68A6" w:rsidRDefault="00CC68A6" w:rsidP="008E6471">
            <w:pPr>
              <w:cnfStyle w:val="000000100000" w:firstRow="0" w:lastRow="0" w:firstColumn="0" w:lastColumn="0" w:oddVBand="0" w:evenVBand="0" w:oddHBand="1" w:evenHBand="0" w:firstRowFirstColumn="0" w:firstRowLastColumn="0" w:lastRowFirstColumn="0" w:lastRowLastColumn="0"/>
            </w:pPr>
          </w:p>
          <w:p w14:paraId="308678FB" w14:textId="77777777" w:rsidR="00CC68A6" w:rsidRDefault="00CC68A6" w:rsidP="008E6471">
            <w:pPr>
              <w:cnfStyle w:val="000000100000" w:firstRow="0" w:lastRow="0" w:firstColumn="0" w:lastColumn="0" w:oddVBand="0" w:evenVBand="0" w:oddHBand="1" w:evenHBand="0" w:firstRowFirstColumn="0" w:firstRowLastColumn="0" w:lastRowFirstColumn="0" w:lastRowLastColumn="0"/>
            </w:pPr>
          </w:p>
          <w:p w14:paraId="31DC111F" w14:textId="77777777" w:rsidR="00CC68A6" w:rsidRDefault="00CC68A6" w:rsidP="008E6471">
            <w:pPr>
              <w:cnfStyle w:val="000000100000" w:firstRow="0" w:lastRow="0" w:firstColumn="0" w:lastColumn="0" w:oddVBand="0" w:evenVBand="0" w:oddHBand="1" w:evenHBand="0" w:firstRowFirstColumn="0" w:firstRowLastColumn="0" w:lastRowFirstColumn="0" w:lastRowLastColumn="0"/>
            </w:pPr>
          </w:p>
          <w:p w14:paraId="72A86A50" w14:textId="55E15B86" w:rsidR="00CC68A6" w:rsidRDefault="00CC68A6" w:rsidP="008E6471">
            <w:pPr>
              <w:cnfStyle w:val="000000100000" w:firstRow="0" w:lastRow="0" w:firstColumn="0" w:lastColumn="0" w:oddVBand="0" w:evenVBand="0" w:oddHBand="1" w:evenHBand="0" w:firstRowFirstColumn="0" w:firstRowLastColumn="0" w:lastRowFirstColumn="0" w:lastRowLastColumn="0"/>
            </w:pPr>
            <w:r>
              <w:t>Definition der Falldauer in der ZAV</w:t>
            </w:r>
          </w:p>
        </w:tc>
      </w:tr>
      <w:tr w:rsidR="00FC1FC8" w14:paraId="61FA5293" w14:textId="77777777" w:rsidTr="00460C6C">
        <w:tc>
          <w:tcPr>
            <w:cnfStyle w:val="001000000000" w:firstRow="0" w:lastRow="0" w:firstColumn="1" w:lastColumn="0" w:oddVBand="0" w:evenVBand="0" w:oddHBand="0" w:evenHBand="0" w:firstRowFirstColumn="0" w:firstRowLastColumn="0" w:lastRowFirstColumn="0" w:lastRowLastColumn="0"/>
            <w:tcW w:w="3242" w:type="dxa"/>
          </w:tcPr>
          <w:p w14:paraId="19F15424" w14:textId="5F0129B3" w:rsidR="00FC1FC8" w:rsidRDefault="00FC1FC8" w:rsidP="008E6471">
            <w:r>
              <w:lastRenderedPageBreak/>
              <w:t>Artikel 3 Abs. 1</w:t>
            </w:r>
          </w:p>
        </w:tc>
        <w:tc>
          <w:tcPr>
            <w:tcW w:w="6109" w:type="dxa"/>
          </w:tcPr>
          <w:p w14:paraId="5A35AF5C" w14:textId="27DE9FDC" w:rsidR="00FC1FC8" w:rsidRDefault="00FC1FC8" w:rsidP="008E6471">
            <w:pPr>
              <w:cnfStyle w:val="000000000000" w:firstRow="0" w:lastRow="0" w:firstColumn="0" w:lastColumn="0" w:oddVBand="0" w:evenVBand="0" w:oddHBand="0" w:evenHBand="0" w:firstRowFirstColumn="0" w:firstRowLastColumn="0" w:lastRowFirstColumn="0" w:lastRowLastColumn="0"/>
            </w:pPr>
            <w:r w:rsidRPr="00FC1FC8">
              <w:t xml:space="preserve">Buchstabe i.: Der Aufgabenbereich im Pflegekinderwesen </w:t>
            </w:r>
            <w:r w:rsidR="00C07632">
              <w:t>ist aus unserer Sicht zu wenig p</w:t>
            </w:r>
            <w:r w:rsidRPr="00FC1FC8">
              <w:t>räzis festgehalten.</w:t>
            </w:r>
          </w:p>
          <w:p w14:paraId="589544CC" w14:textId="77777777" w:rsidR="008B3229" w:rsidRDefault="008B3229" w:rsidP="008E6471">
            <w:pPr>
              <w:cnfStyle w:val="000000000000" w:firstRow="0" w:lastRow="0" w:firstColumn="0" w:lastColumn="0" w:oddVBand="0" w:evenVBand="0" w:oddHBand="0" w:evenHBand="0" w:firstRowFirstColumn="0" w:firstRowLastColumn="0" w:lastRowFirstColumn="0" w:lastRowLastColumn="0"/>
            </w:pPr>
          </w:p>
          <w:p w14:paraId="717D20EB" w14:textId="77777777" w:rsidR="008B3229" w:rsidRDefault="008B3229" w:rsidP="008E6471">
            <w:pPr>
              <w:cnfStyle w:val="000000000000" w:firstRow="0" w:lastRow="0" w:firstColumn="0" w:lastColumn="0" w:oddVBand="0" w:evenVBand="0" w:oddHBand="0" w:evenHBand="0" w:firstRowFirstColumn="0" w:firstRowLastColumn="0" w:lastRowFirstColumn="0" w:lastRowLastColumn="0"/>
            </w:pPr>
          </w:p>
          <w:p w14:paraId="323B85B1" w14:textId="77777777" w:rsidR="0006510C" w:rsidRDefault="0006510C" w:rsidP="008E6471">
            <w:pPr>
              <w:cnfStyle w:val="000000000000" w:firstRow="0" w:lastRow="0" w:firstColumn="0" w:lastColumn="0" w:oddVBand="0" w:evenVBand="0" w:oddHBand="0" w:evenHBand="0" w:firstRowFirstColumn="0" w:firstRowLastColumn="0" w:lastRowFirstColumn="0" w:lastRowLastColumn="0"/>
            </w:pPr>
          </w:p>
          <w:p w14:paraId="3084ADD8" w14:textId="77777777" w:rsidR="0006510C" w:rsidRDefault="0006510C" w:rsidP="008E6471">
            <w:pPr>
              <w:cnfStyle w:val="000000000000" w:firstRow="0" w:lastRow="0" w:firstColumn="0" w:lastColumn="0" w:oddVBand="0" w:evenVBand="0" w:oddHBand="0" w:evenHBand="0" w:firstRowFirstColumn="0" w:firstRowLastColumn="0" w:lastRowFirstColumn="0" w:lastRowLastColumn="0"/>
            </w:pPr>
          </w:p>
          <w:p w14:paraId="5CAF7F1F" w14:textId="53CB8B0D" w:rsidR="00DF635E" w:rsidRDefault="00DF635E" w:rsidP="008E6471">
            <w:pPr>
              <w:cnfStyle w:val="000000000000" w:firstRow="0" w:lastRow="0" w:firstColumn="0" w:lastColumn="0" w:oddVBand="0" w:evenVBand="0" w:oddHBand="0" w:evenHBand="0" w:firstRowFirstColumn="0" w:firstRowLastColumn="0" w:lastRowFirstColumn="0" w:lastRowLastColumn="0"/>
            </w:pPr>
            <w:r>
              <w:t>Bei den Aufgaben, die die Sozialdienste auf Anordnung der KESB erfüllen, fehlen:</w:t>
            </w:r>
          </w:p>
          <w:p w14:paraId="12CC44BA" w14:textId="5F9CD8DA" w:rsidR="0006510C" w:rsidRPr="00DF635E" w:rsidRDefault="0006510C" w:rsidP="00DF635E">
            <w:pPr>
              <w:pStyle w:val="Listenabsatz"/>
              <w:numPr>
                <w:ilvl w:val="0"/>
                <w:numId w:val="26"/>
              </w:numPr>
              <w:cnfStyle w:val="000000000000" w:firstRow="0" w:lastRow="0" w:firstColumn="0" w:lastColumn="0" w:oddVBand="0" w:evenVBand="0" w:oddHBand="0" w:evenHBand="0" w:firstRowFirstColumn="0" w:firstRowLastColumn="0" w:lastRowFirstColumn="0" w:lastRowLastColumn="0"/>
            </w:pPr>
            <w:r w:rsidRPr="00DF635E">
              <w:t>Arbeiten in Zusammenhang mit Fürsorgerischen Unterbringungen</w:t>
            </w:r>
          </w:p>
          <w:p w14:paraId="6864DD44" w14:textId="42E76356" w:rsidR="008B3229" w:rsidRPr="00FC1FC8" w:rsidRDefault="0006510C" w:rsidP="00DF635E">
            <w:pPr>
              <w:pStyle w:val="Listenabsatz"/>
              <w:numPr>
                <w:ilvl w:val="0"/>
                <w:numId w:val="26"/>
              </w:numPr>
              <w:cnfStyle w:val="000000000000" w:firstRow="0" w:lastRow="0" w:firstColumn="0" w:lastColumn="0" w:oddVBand="0" w:evenVBand="0" w:oddHBand="0" w:evenHBand="0" w:firstRowFirstColumn="0" w:firstRowLastColumn="0" w:lastRowFirstColumn="0" w:lastRowLastColumn="0"/>
            </w:pPr>
            <w:r w:rsidRPr="00DF635E">
              <w:t>Arbeiten in Zusammenhang mit der Platzierung von Kindern</w:t>
            </w:r>
          </w:p>
        </w:tc>
        <w:tc>
          <w:tcPr>
            <w:tcW w:w="5216" w:type="dxa"/>
          </w:tcPr>
          <w:p w14:paraId="00896A53" w14:textId="77777777" w:rsidR="00FC1FC8" w:rsidRDefault="00FC1FC8" w:rsidP="008E6471">
            <w:pPr>
              <w:cnfStyle w:val="000000000000" w:firstRow="0" w:lastRow="0" w:firstColumn="0" w:lastColumn="0" w:oddVBand="0" w:evenVBand="0" w:oddHBand="0" w:evenHBand="0" w:firstRowFirstColumn="0" w:firstRowLastColumn="0" w:lastRowFirstColumn="0" w:lastRowLastColumn="0"/>
            </w:pPr>
            <w:r w:rsidRPr="00FC1FC8">
              <w:lastRenderedPageBreak/>
              <w:t>Es soll unterschieden werden zwischen</w:t>
            </w:r>
            <w:r>
              <w:t>:</w:t>
            </w:r>
          </w:p>
          <w:p w14:paraId="32C0A5DB" w14:textId="77777777" w:rsidR="00FC1FC8" w:rsidRPr="00FC1FC8" w:rsidRDefault="00FC1FC8" w:rsidP="00FC1FC8">
            <w:pPr>
              <w:pStyle w:val="Listenabsatz"/>
              <w:numPr>
                <w:ilvl w:val="0"/>
                <w:numId w:val="25"/>
              </w:numPr>
              <w:cnfStyle w:val="000000000000" w:firstRow="0" w:lastRow="0" w:firstColumn="0" w:lastColumn="0" w:oddVBand="0" w:evenVBand="0" w:oddHBand="0" w:evenHBand="0" w:firstRowFirstColumn="0" w:firstRowLastColumn="0" w:lastRowFirstColumn="0" w:lastRowLastColumn="0"/>
            </w:pPr>
            <w:r w:rsidRPr="00FC1FC8">
              <w:t>der Abklärung der Pflegefamilie,</w:t>
            </w:r>
          </w:p>
          <w:p w14:paraId="23A782C6" w14:textId="77777777" w:rsidR="00FC1FC8" w:rsidRPr="00FC1FC8" w:rsidRDefault="00FC1FC8" w:rsidP="00FC1FC8">
            <w:pPr>
              <w:pStyle w:val="Listenabsatz"/>
              <w:numPr>
                <w:ilvl w:val="0"/>
                <w:numId w:val="25"/>
              </w:numPr>
              <w:cnfStyle w:val="000000000000" w:firstRow="0" w:lastRow="0" w:firstColumn="0" w:lastColumn="0" w:oddVBand="0" w:evenVBand="0" w:oddHBand="0" w:evenHBand="0" w:firstRowFirstColumn="0" w:firstRowLastColumn="0" w:lastRowFirstColumn="0" w:lastRowLastColumn="0"/>
            </w:pPr>
            <w:r w:rsidRPr="00FC1FC8">
              <w:lastRenderedPageBreak/>
              <w:t xml:space="preserve">der Passung des Kindes bei einer vorgesehenen Platzierung und </w:t>
            </w:r>
          </w:p>
          <w:p w14:paraId="6C50BE75" w14:textId="77777777" w:rsidR="00FC1FC8" w:rsidRPr="00FC1FC8" w:rsidRDefault="00FC1FC8" w:rsidP="00FC1FC8">
            <w:pPr>
              <w:pStyle w:val="Listenabsatz"/>
              <w:numPr>
                <w:ilvl w:val="0"/>
                <w:numId w:val="25"/>
              </w:numPr>
              <w:cnfStyle w:val="000000000000" w:firstRow="0" w:lastRow="0" w:firstColumn="0" w:lastColumn="0" w:oddVBand="0" w:evenVBand="0" w:oddHBand="0" w:evenHBand="0" w:firstRowFirstColumn="0" w:firstRowLastColumn="0" w:lastRowFirstColumn="0" w:lastRowLastColumn="0"/>
            </w:pPr>
            <w:r w:rsidRPr="00FC1FC8">
              <w:t xml:space="preserve">der Pflegekinderaufsicht. </w:t>
            </w:r>
          </w:p>
          <w:p w14:paraId="7D1BE560" w14:textId="77777777" w:rsidR="00FC1FC8" w:rsidRDefault="00FC1FC8" w:rsidP="008E6471">
            <w:pPr>
              <w:cnfStyle w:val="000000000000" w:firstRow="0" w:lastRow="0" w:firstColumn="0" w:lastColumn="0" w:oddVBand="0" w:evenVBand="0" w:oddHBand="0" w:evenHBand="0" w:firstRowFirstColumn="0" w:firstRowLastColumn="0" w:lastRowFirstColumn="0" w:lastRowLastColumn="0"/>
            </w:pPr>
            <w:r w:rsidRPr="00FC1FC8">
              <w:t>Die Tätigkeiten sollen durch die Sozialdienste bei einer Durchschnittsbetrachtung kumulativ geltend gemacht werden können.</w:t>
            </w:r>
          </w:p>
          <w:p w14:paraId="3231FDEE" w14:textId="77777777" w:rsidR="00DF635E" w:rsidRDefault="00DF635E" w:rsidP="008E6471">
            <w:pPr>
              <w:cnfStyle w:val="000000000000" w:firstRow="0" w:lastRow="0" w:firstColumn="0" w:lastColumn="0" w:oddVBand="0" w:evenVBand="0" w:oddHBand="0" w:evenHBand="0" w:firstRowFirstColumn="0" w:firstRowLastColumn="0" w:lastRowFirstColumn="0" w:lastRowLastColumn="0"/>
            </w:pPr>
          </w:p>
          <w:p w14:paraId="4400D17B" w14:textId="394DE2FC" w:rsidR="0006510C" w:rsidRDefault="0006510C" w:rsidP="008E6471">
            <w:pPr>
              <w:cnfStyle w:val="000000000000" w:firstRow="0" w:lastRow="0" w:firstColumn="0" w:lastColumn="0" w:oddVBand="0" w:evenVBand="0" w:oddHBand="0" w:evenHBand="0" w:firstRowFirstColumn="0" w:firstRowLastColumn="0" w:lastRowFirstColumn="0" w:lastRowLastColumn="0"/>
            </w:pPr>
            <w:r>
              <w:t>l)</w:t>
            </w:r>
            <w:r w:rsidR="00DF635E">
              <w:t xml:space="preserve"> (neu)</w:t>
            </w:r>
            <w:r>
              <w:t xml:space="preserve"> Erfüllen von Aufgaben nach Artikel 426 ZGB</w:t>
            </w:r>
          </w:p>
          <w:p w14:paraId="70A76C80" w14:textId="17FBCE9C" w:rsidR="0006510C" w:rsidRPr="00FC1FC8" w:rsidRDefault="0006510C" w:rsidP="008E6471">
            <w:pPr>
              <w:cnfStyle w:val="000000000000" w:firstRow="0" w:lastRow="0" w:firstColumn="0" w:lastColumn="0" w:oddVBand="0" w:evenVBand="0" w:oddHBand="0" w:evenHBand="0" w:firstRowFirstColumn="0" w:firstRowLastColumn="0" w:lastRowFirstColumn="0" w:lastRowLastColumn="0"/>
            </w:pPr>
            <w:r>
              <w:t xml:space="preserve">m) </w:t>
            </w:r>
            <w:r w:rsidR="00DF635E">
              <w:t xml:space="preserve">(neu) </w:t>
            </w:r>
            <w:r>
              <w:t>Erfüllen von Aufgaben nach Art. 310 ZGB</w:t>
            </w:r>
          </w:p>
        </w:tc>
      </w:tr>
      <w:tr w:rsidR="004D5034" w14:paraId="1C31430A" w14:textId="77777777" w:rsidTr="000249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2" w:type="dxa"/>
          </w:tcPr>
          <w:p w14:paraId="5B3EB6C7" w14:textId="53ACAD7D" w:rsidR="004D5034" w:rsidRDefault="004D5034" w:rsidP="00F94677">
            <w:r w:rsidRPr="004D5034">
              <w:rPr>
                <w:highlight w:val="yellow"/>
              </w:rPr>
              <w:lastRenderedPageBreak/>
              <w:t xml:space="preserve">Bisheriger Art. 7 Abs. 1 Bst. </w:t>
            </w:r>
            <w:r w:rsidR="00F94677">
              <w:rPr>
                <w:highlight w:val="yellow"/>
              </w:rPr>
              <w:t>d</w:t>
            </w:r>
          </w:p>
        </w:tc>
        <w:tc>
          <w:tcPr>
            <w:tcW w:w="6109" w:type="dxa"/>
          </w:tcPr>
          <w:p w14:paraId="0FF6E748" w14:textId="77777777" w:rsidR="004D5034" w:rsidRPr="004D5034" w:rsidRDefault="004D5034" w:rsidP="008E6471">
            <w:pPr>
              <w:cnfStyle w:val="000000100000" w:firstRow="0" w:lastRow="0" w:firstColumn="0" w:lastColumn="0" w:oddVBand="0" w:evenVBand="0" w:oddHBand="1" w:evenHBand="0" w:firstRowFirstColumn="0" w:firstRowLastColumn="0" w:lastRowFirstColumn="0" w:lastRowLastColumn="0"/>
            </w:pPr>
            <w:r w:rsidRPr="004D5034">
              <w:t>Es ist nicht nachvollziehbar und aus bildungspolitischen Überlegungen auch bedenklich, wenn zukünftig die Besoldungsaufwendungen für die im Sozialbereich in Ausbildung stehenden Praktikantinnen und Praktikanten nicht mehr geltend gemacht werden können. Die Anstellung von Praktikantinnen und Praktikanten bedeutet für die Sozialdienste vor allem Aufwand. Sollte der Kanton im KES Bereich zukünftig auf eine Abgeltung verzichten, so wird der Fehlanreiz geschaffen, keine Praktikantinnen und Praktikanten mehr anzustellen. Auch hier ist die Einbindung der Abgeltung in die Fallpauschalen nicht sachgerecht, da die Fallabgeltung in keinem Zusammenhang steht mit der Betreuung von Auszubildenden.</w:t>
            </w:r>
          </w:p>
        </w:tc>
        <w:tc>
          <w:tcPr>
            <w:tcW w:w="5216" w:type="dxa"/>
          </w:tcPr>
          <w:p w14:paraId="0E1379B8" w14:textId="77777777" w:rsidR="004D5034" w:rsidRPr="004D5034" w:rsidRDefault="004D5034" w:rsidP="008E6471">
            <w:pPr>
              <w:cnfStyle w:val="000000100000" w:firstRow="0" w:lastRow="0" w:firstColumn="0" w:lastColumn="0" w:oddVBand="0" w:evenVBand="0" w:oddHBand="1" w:evenHBand="0" w:firstRowFirstColumn="0" w:firstRowLastColumn="0" w:lastRowFirstColumn="0" w:lastRowLastColumn="0"/>
            </w:pPr>
            <w:r w:rsidRPr="004D5034">
              <w:t xml:space="preserve">Die Besoldungskosten für Praktikantinnen und Praktikanten, welche eine Ausbildung im Sozialbereich absolvieren sind wie bisher nach den gleichen Ansätzen </w:t>
            </w:r>
            <w:r w:rsidRPr="004D5034">
              <w:rPr>
                <w:u w:val="single"/>
              </w:rPr>
              <w:t>zusätzlich</w:t>
            </w:r>
            <w:r w:rsidRPr="004D5034">
              <w:t xml:space="preserve"> abzugelten. </w:t>
            </w:r>
          </w:p>
        </w:tc>
      </w:tr>
      <w:tr w:rsidR="00E7158D" w14:paraId="0F81D827" w14:textId="77777777" w:rsidTr="00B419E6">
        <w:tc>
          <w:tcPr>
            <w:cnfStyle w:val="001000000000" w:firstRow="0" w:lastRow="0" w:firstColumn="1" w:lastColumn="0" w:oddVBand="0" w:evenVBand="0" w:oddHBand="0" w:evenHBand="0" w:firstRowFirstColumn="0" w:firstRowLastColumn="0" w:lastRowFirstColumn="0" w:lastRowLastColumn="0"/>
            <w:tcW w:w="3242" w:type="dxa"/>
          </w:tcPr>
          <w:p w14:paraId="28E59D24" w14:textId="77777777" w:rsidR="00E7158D" w:rsidRDefault="00D80CF9" w:rsidP="008E6471">
            <w:r>
              <w:t>Artikel 7 Abs</w:t>
            </w:r>
            <w:r w:rsidR="00262921">
              <w:t>.</w:t>
            </w:r>
            <w:r>
              <w:t xml:space="preserve"> 1</w:t>
            </w:r>
          </w:p>
        </w:tc>
        <w:tc>
          <w:tcPr>
            <w:tcW w:w="6109" w:type="dxa"/>
          </w:tcPr>
          <w:p w14:paraId="0BCA4500" w14:textId="77777777" w:rsidR="007A080D" w:rsidRDefault="007A080D" w:rsidP="007A080D">
            <w:pPr>
              <w:cnfStyle w:val="000000000000" w:firstRow="0" w:lastRow="0" w:firstColumn="0" w:lastColumn="0" w:oddVBand="0" w:evenVBand="0" w:oddHBand="0" w:evenHBand="0" w:firstRowFirstColumn="0" w:firstRowLastColumn="0" w:lastRowFirstColumn="0" w:lastRowLastColumn="0"/>
            </w:pPr>
            <w:r>
              <w:t>Da es sich nicht um eine Vollkostenrechnung handelt (die Infrastrukturkosten werden nicht vergütet), ist auf den Begriff „Vollkostenpauschale zu verzichten.</w:t>
            </w:r>
          </w:p>
          <w:p w14:paraId="69C5B916" w14:textId="77777777" w:rsidR="00206BC9" w:rsidRDefault="00206BC9" w:rsidP="008E6471">
            <w:pPr>
              <w:cnfStyle w:val="000000000000" w:firstRow="0" w:lastRow="0" w:firstColumn="0" w:lastColumn="0" w:oddVBand="0" w:evenVBand="0" w:oddHBand="0" w:evenHBand="0" w:firstRowFirstColumn="0" w:firstRowLastColumn="0" w:lastRowFirstColumn="0" w:lastRowLastColumn="0"/>
            </w:pPr>
            <w:r>
              <w:t xml:space="preserve">Wie in den allgemeinen Bemerkungen ausgeführt, sind wir mit den Herleitungen des Aufwandes für die verschiedenen Fallkategorien </w:t>
            </w:r>
            <w:r>
              <w:lastRenderedPageBreak/>
              <w:t>nicht einverstanden</w:t>
            </w:r>
            <w:r w:rsidR="0091707A">
              <w:t xml:space="preserve"> und beziehen uns auf eigene Erhebungen</w:t>
            </w:r>
            <w:r>
              <w:t xml:space="preserve">. </w:t>
            </w:r>
            <w:r w:rsidR="0091707A">
              <w:t xml:space="preserve">Die BKSE hat dies </w:t>
            </w:r>
            <w:r w:rsidR="0091707A" w:rsidRPr="00FC1FC8">
              <w:t xml:space="preserve">anlässlich der Arbeitsgruppensitzungen </w:t>
            </w:r>
            <w:r w:rsidR="0091707A">
              <w:t xml:space="preserve">wiederholt eingebracht, doch die Einwände wurden nicht berücksichtigt. </w:t>
            </w:r>
          </w:p>
          <w:p w14:paraId="2310C8B4" w14:textId="6F244EB2" w:rsidR="00AE61D3" w:rsidRPr="00AE61D3" w:rsidRDefault="004D5034" w:rsidP="00AE61D3">
            <w:pPr>
              <w:cnfStyle w:val="000000000000" w:firstRow="0" w:lastRow="0" w:firstColumn="0" w:lastColumn="0" w:oddVBand="0" w:evenVBand="0" w:oddHBand="0" w:evenHBand="0" w:firstRowFirstColumn="0" w:firstRowLastColumn="0" w:lastRowFirstColumn="0" w:lastRowLastColumn="0"/>
            </w:pPr>
            <w:r w:rsidRPr="00AE61D3">
              <w:t xml:space="preserve">Buchstabe g): Wenn die Aufsichtspflicht mit den Tageselternvereinen mit Delegations- und Subdelegationsverträgen geregelt ist, beschert dies dem Sozialdienst diverse Aufgaben. Qualitätssicherung, mehrere Austauschtreffen pro Jahr, Jahresbericht usw. Die angerechneten 4 Stunden/Jahr sind deshalb viel zu </w:t>
            </w:r>
            <w:r w:rsidR="00AE61D3" w:rsidRPr="00AE61D3">
              <w:t>knapp bemessen, falls die delegierten Tagespflegeverhältnisse nicht</w:t>
            </w:r>
            <w:r w:rsidR="00585D39">
              <w:t xml:space="preserve"> unter Bst. f</w:t>
            </w:r>
            <w:r w:rsidR="00AE61D3" w:rsidRPr="00AE61D3">
              <w:t xml:space="preserve"> </w:t>
            </w:r>
            <w:r w:rsidR="00C07632">
              <w:t>mit</w:t>
            </w:r>
            <w:r w:rsidR="00AE61D3" w:rsidRPr="00AE61D3">
              <w:t>gezählt werden können.</w:t>
            </w:r>
          </w:p>
          <w:p w14:paraId="0C105669" w14:textId="75352FC7" w:rsidR="00585D39" w:rsidRDefault="00585D39" w:rsidP="008B3229">
            <w:pPr>
              <w:cnfStyle w:val="000000000000" w:firstRow="0" w:lastRow="0" w:firstColumn="0" w:lastColumn="0" w:oddVBand="0" w:evenVBand="0" w:oddHBand="0" w:evenHBand="0" w:firstRowFirstColumn="0" w:firstRowLastColumn="0" w:lastRowFirstColumn="0" w:lastRowLastColumn="0"/>
            </w:pPr>
            <w:r>
              <w:t>Buchstabe l (neu): Die Sozialdienste müssen neuerdings auch die Elternbeitragsberechnungen inkl. das entsprechende Inkasso für die KESB führen – insbesondere in Fällen, in denen die Eltern zu einer aussergerichtlichen Vereinbarung gebracht werden sollen. Die Berechnungen sind aufwändig und oft kommt es zu keinem Abschluss der Verfahren. Deshalb ist es wichtig, dass diese Fälle als WSH-Fall gezählt und abgerechnet werden können</w:t>
            </w:r>
            <w:r w:rsidR="00C07632">
              <w:t>.</w:t>
            </w:r>
          </w:p>
          <w:p w14:paraId="63610348" w14:textId="5F90BB3D" w:rsidR="00F17A15" w:rsidRDefault="00585D39" w:rsidP="008B3229">
            <w:pPr>
              <w:cnfStyle w:val="000000000000" w:firstRow="0" w:lastRow="0" w:firstColumn="0" w:lastColumn="0" w:oddVBand="0" w:evenVBand="0" w:oddHBand="0" w:evenHBand="0" w:firstRowFirstColumn="0" w:firstRowLastColumn="0" w:lastRowFirstColumn="0" w:lastRowLastColumn="0"/>
            </w:pPr>
            <w:r>
              <w:t>Buchstabe m (neu): Auch die I</w:t>
            </w:r>
            <w:r w:rsidR="00F17A15">
              <w:t>nventaraufnahme bei Beistandschaften</w:t>
            </w:r>
            <w:r w:rsidR="008B3229">
              <w:t xml:space="preserve"> </w:t>
            </w:r>
            <w:r>
              <w:t>ist eine aufwändige Aufgabe und in der ZAV</w:t>
            </w:r>
            <w:r w:rsidR="008B3229">
              <w:t xml:space="preserve"> zu ergänzen</w:t>
            </w:r>
            <w:r w:rsidR="00F17A15">
              <w:t>.</w:t>
            </w:r>
          </w:p>
          <w:p w14:paraId="1BC7C32A" w14:textId="77777777" w:rsidR="008B3229" w:rsidRDefault="00E03253" w:rsidP="00E03253">
            <w:pPr>
              <w:cnfStyle w:val="000000000000" w:firstRow="0" w:lastRow="0" w:firstColumn="0" w:lastColumn="0" w:oddVBand="0" w:evenVBand="0" w:oddHBand="0" w:evenHBand="0" w:firstRowFirstColumn="0" w:firstRowLastColumn="0" w:lastRowFirstColumn="0" w:lastRowLastColumn="0"/>
            </w:pPr>
            <w:r>
              <w:t xml:space="preserve">Neuer Buchstabe o): Ebenfalls aufzunehmen sind die präventiven Fälle im Kindes- und Erwachsenenschutz! Wir vertreten klar die Meinung, dass solche Fälle in der ZAV geregelt und vom Kanton finanziert werden. Eine Entschädigung in der vorgeschlagenen Höhe gem. SHV-Revision ist ungenügend. Zudem ist es fachlich unsinnig, die Anzahl präventiver Fälle an die Anzahl Fälle der wirtschaftlichen Hilfe anzubinden. Es ist keine Beschränkung vorzusehen. </w:t>
            </w:r>
          </w:p>
        </w:tc>
        <w:tc>
          <w:tcPr>
            <w:tcW w:w="5216" w:type="dxa"/>
          </w:tcPr>
          <w:p w14:paraId="5996EC36" w14:textId="77777777" w:rsidR="007A080D" w:rsidRPr="00C07632" w:rsidRDefault="007A080D" w:rsidP="007A08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ArialMT" w:hAnsi="ArialMT" w:cs="ArialMT"/>
              </w:rPr>
              <w:lastRenderedPageBreak/>
              <w:t>„</w:t>
            </w:r>
            <w:r w:rsidRPr="00C07632">
              <w:rPr>
                <w:rFonts w:asciiTheme="minorHAnsi" w:hAnsiTheme="minorHAnsi" w:cstheme="minorHAnsi"/>
              </w:rPr>
              <w:t xml:space="preserve">Der Kanton entschädigt die Aufwendungen der Gemeinden mittels </w:t>
            </w:r>
            <w:proofErr w:type="spellStart"/>
            <w:r w:rsidRPr="00C07632">
              <w:rPr>
                <w:rFonts w:asciiTheme="minorHAnsi" w:hAnsiTheme="minorHAnsi" w:cstheme="minorHAnsi"/>
                <w:strike/>
              </w:rPr>
              <w:t>Vollkosten</w:t>
            </w:r>
            <w:r w:rsidRPr="00C07632">
              <w:rPr>
                <w:rFonts w:asciiTheme="minorHAnsi" w:hAnsiTheme="minorHAnsi" w:cstheme="minorHAnsi"/>
              </w:rPr>
              <w:t>Pauschalen</w:t>
            </w:r>
            <w:proofErr w:type="spellEnd"/>
            <w:r w:rsidRPr="00C07632">
              <w:rPr>
                <w:rFonts w:asciiTheme="minorHAnsi" w:hAnsiTheme="minorHAnsi" w:cstheme="minorHAnsi"/>
              </w:rPr>
              <w:t xml:space="preserve">.“ </w:t>
            </w:r>
          </w:p>
          <w:p w14:paraId="0DF0B82D" w14:textId="77777777" w:rsidR="004D5034" w:rsidRDefault="00206BC9" w:rsidP="008E6471">
            <w:pPr>
              <w:cnfStyle w:val="000000000000" w:firstRow="0" w:lastRow="0" w:firstColumn="0" w:lastColumn="0" w:oddVBand="0" w:evenVBand="0" w:oddHBand="0" w:evenHBand="0" w:firstRowFirstColumn="0" w:firstRowLastColumn="0" w:lastRowFirstColumn="0" w:lastRowLastColumn="0"/>
            </w:pPr>
            <w:r>
              <w:t>Wir beantragen Anpassungen des angerechneten Aufwandes bei folgenden Pauschalen:</w:t>
            </w:r>
          </w:p>
          <w:tbl>
            <w:tblPr>
              <w:tblStyle w:val="Tabellenraster"/>
              <w:tblW w:w="4990" w:type="dxa"/>
              <w:tblLook w:val="04A0" w:firstRow="1" w:lastRow="0" w:firstColumn="1" w:lastColumn="0" w:noHBand="0" w:noVBand="1"/>
            </w:tblPr>
            <w:tblGrid>
              <w:gridCol w:w="2316"/>
              <w:gridCol w:w="1378"/>
              <w:gridCol w:w="1296"/>
            </w:tblGrid>
            <w:tr w:rsidR="00206BC9" w:rsidRPr="00296D36" w14:paraId="6C944BFB" w14:textId="77777777" w:rsidTr="00F17A15">
              <w:tc>
                <w:tcPr>
                  <w:tcW w:w="2316" w:type="dxa"/>
                </w:tcPr>
                <w:p w14:paraId="66D640AE" w14:textId="77777777" w:rsidR="00206BC9" w:rsidRPr="00206BC9" w:rsidRDefault="00206BC9" w:rsidP="008E6471">
                  <w:pPr>
                    <w:spacing w:after="0"/>
                    <w:rPr>
                      <w:b/>
                      <w:sz w:val="18"/>
                      <w:szCs w:val="18"/>
                    </w:rPr>
                  </w:pPr>
                  <w:r w:rsidRPr="00206BC9">
                    <w:rPr>
                      <w:b/>
                      <w:sz w:val="18"/>
                      <w:szCs w:val="18"/>
                    </w:rPr>
                    <w:lastRenderedPageBreak/>
                    <w:t>Bst.</w:t>
                  </w:r>
                </w:p>
              </w:tc>
              <w:tc>
                <w:tcPr>
                  <w:tcW w:w="1378" w:type="dxa"/>
                </w:tcPr>
                <w:p w14:paraId="447C451A" w14:textId="77777777" w:rsidR="00206BC9" w:rsidRPr="00206BC9" w:rsidRDefault="00206BC9" w:rsidP="008E6471">
                  <w:pPr>
                    <w:spacing w:after="0"/>
                    <w:rPr>
                      <w:b/>
                      <w:sz w:val="18"/>
                      <w:szCs w:val="18"/>
                    </w:rPr>
                  </w:pPr>
                  <w:r w:rsidRPr="00206BC9">
                    <w:rPr>
                      <w:b/>
                      <w:sz w:val="18"/>
                      <w:szCs w:val="18"/>
                    </w:rPr>
                    <w:t>Sozialarbeit</w:t>
                  </w:r>
                </w:p>
              </w:tc>
              <w:tc>
                <w:tcPr>
                  <w:tcW w:w="1296" w:type="dxa"/>
                </w:tcPr>
                <w:p w14:paraId="6E73D3E1" w14:textId="77777777" w:rsidR="00206BC9" w:rsidRPr="00206BC9" w:rsidRDefault="00206BC9" w:rsidP="008E6471">
                  <w:pPr>
                    <w:spacing w:after="0"/>
                    <w:rPr>
                      <w:b/>
                      <w:sz w:val="18"/>
                      <w:szCs w:val="18"/>
                    </w:rPr>
                  </w:pPr>
                  <w:r w:rsidRPr="00206BC9">
                    <w:rPr>
                      <w:b/>
                      <w:sz w:val="18"/>
                      <w:szCs w:val="18"/>
                    </w:rPr>
                    <w:t>Admin.</w:t>
                  </w:r>
                </w:p>
              </w:tc>
            </w:tr>
            <w:tr w:rsidR="00206BC9" w:rsidRPr="00296D36" w14:paraId="4E32FA64" w14:textId="77777777" w:rsidTr="00F17A15">
              <w:tc>
                <w:tcPr>
                  <w:tcW w:w="2316" w:type="dxa"/>
                </w:tcPr>
                <w:p w14:paraId="1033D618" w14:textId="77777777" w:rsidR="00206BC9" w:rsidRPr="00206BC9" w:rsidRDefault="00206BC9" w:rsidP="008E6471">
                  <w:pPr>
                    <w:spacing w:after="0"/>
                    <w:rPr>
                      <w:sz w:val="16"/>
                      <w:szCs w:val="16"/>
                    </w:rPr>
                  </w:pPr>
                  <w:r w:rsidRPr="00206BC9">
                    <w:rPr>
                      <w:sz w:val="16"/>
                      <w:szCs w:val="16"/>
                    </w:rPr>
                    <w:t>b.</w:t>
                  </w:r>
                </w:p>
              </w:tc>
              <w:tc>
                <w:tcPr>
                  <w:tcW w:w="1378" w:type="dxa"/>
                </w:tcPr>
                <w:p w14:paraId="2FA91E94" w14:textId="5EEBF8AD" w:rsidR="00206BC9" w:rsidRPr="00206BC9" w:rsidRDefault="00C07632" w:rsidP="008E6471">
                  <w:pPr>
                    <w:spacing w:after="0"/>
                    <w:jc w:val="right"/>
                    <w:rPr>
                      <w:sz w:val="16"/>
                      <w:szCs w:val="16"/>
                    </w:rPr>
                  </w:pPr>
                  <w:r w:rsidRPr="00C07632">
                    <w:rPr>
                      <w:strike/>
                      <w:sz w:val="16"/>
                      <w:szCs w:val="16"/>
                    </w:rPr>
                    <w:t>9</w:t>
                  </w:r>
                  <w:r>
                    <w:rPr>
                      <w:sz w:val="16"/>
                      <w:szCs w:val="16"/>
                    </w:rPr>
                    <w:t xml:space="preserve"> </w:t>
                  </w:r>
                  <w:r w:rsidR="00206BC9" w:rsidRPr="00206BC9">
                    <w:rPr>
                      <w:sz w:val="16"/>
                      <w:szCs w:val="16"/>
                    </w:rPr>
                    <w:t>15</w:t>
                  </w:r>
                </w:p>
              </w:tc>
              <w:tc>
                <w:tcPr>
                  <w:tcW w:w="1296" w:type="dxa"/>
                </w:tcPr>
                <w:p w14:paraId="0606CEAA" w14:textId="77777777" w:rsidR="00206BC9" w:rsidRPr="00206BC9" w:rsidRDefault="00206BC9" w:rsidP="008E6471">
                  <w:pPr>
                    <w:spacing w:after="0"/>
                    <w:jc w:val="right"/>
                    <w:rPr>
                      <w:sz w:val="16"/>
                      <w:szCs w:val="16"/>
                    </w:rPr>
                  </w:pPr>
                  <w:r w:rsidRPr="00206BC9">
                    <w:rPr>
                      <w:sz w:val="16"/>
                      <w:szCs w:val="16"/>
                    </w:rPr>
                    <w:t>1</w:t>
                  </w:r>
                </w:p>
              </w:tc>
            </w:tr>
            <w:tr w:rsidR="00206BC9" w:rsidRPr="00296D36" w14:paraId="489B2C97" w14:textId="77777777" w:rsidTr="00F17A15">
              <w:tc>
                <w:tcPr>
                  <w:tcW w:w="2316" w:type="dxa"/>
                </w:tcPr>
                <w:p w14:paraId="14BCB5BB" w14:textId="77777777" w:rsidR="00206BC9" w:rsidRPr="00206BC9" w:rsidRDefault="00206BC9" w:rsidP="008E6471">
                  <w:pPr>
                    <w:spacing w:after="0"/>
                    <w:rPr>
                      <w:sz w:val="16"/>
                      <w:szCs w:val="16"/>
                    </w:rPr>
                  </w:pPr>
                  <w:r w:rsidRPr="00206BC9">
                    <w:rPr>
                      <w:sz w:val="16"/>
                      <w:szCs w:val="16"/>
                    </w:rPr>
                    <w:t xml:space="preserve">c. Zusatz: Aufwand bei Platzierungen gemäss </w:t>
                  </w:r>
                </w:p>
                <w:p w14:paraId="269493E3" w14:textId="77777777" w:rsidR="00206BC9" w:rsidRPr="00206BC9" w:rsidRDefault="00206BC9" w:rsidP="008E6471">
                  <w:pPr>
                    <w:spacing w:after="0"/>
                    <w:rPr>
                      <w:sz w:val="16"/>
                      <w:szCs w:val="16"/>
                    </w:rPr>
                  </w:pPr>
                  <w:r w:rsidRPr="00206BC9">
                    <w:rPr>
                      <w:sz w:val="16"/>
                      <w:szCs w:val="16"/>
                    </w:rPr>
                    <w:t>Art. 310, 1 ZGB</w:t>
                  </w:r>
                </w:p>
              </w:tc>
              <w:tc>
                <w:tcPr>
                  <w:tcW w:w="1378" w:type="dxa"/>
                </w:tcPr>
                <w:p w14:paraId="2CFA33D9" w14:textId="77777777" w:rsidR="00206BC9" w:rsidRPr="00206BC9" w:rsidRDefault="00206BC9" w:rsidP="008E6471">
                  <w:pPr>
                    <w:spacing w:after="0"/>
                    <w:jc w:val="right"/>
                    <w:rPr>
                      <w:sz w:val="16"/>
                      <w:szCs w:val="16"/>
                    </w:rPr>
                  </w:pPr>
                  <w:r w:rsidRPr="00206BC9">
                    <w:rPr>
                      <w:sz w:val="16"/>
                      <w:szCs w:val="16"/>
                    </w:rPr>
                    <w:t>10</w:t>
                  </w:r>
                </w:p>
              </w:tc>
              <w:tc>
                <w:tcPr>
                  <w:tcW w:w="1296" w:type="dxa"/>
                </w:tcPr>
                <w:p w14:paraId="15A3D125" w14:textId="77777777" w:rsidR="00206BC9" w:rsidRPr="00206BC9" w:rsidRDefault="00206BC9" w:rsidP="008E6471">
                  <w:pPr>
                    <w:spacing w:after="0"/>
                    <w:jc w:val="right"/>
                    <w:rPr>
                      <w:sz w:val="16"/>
                      <w:szCs w:val="16"/>
                    </w:rPr>
                  </w:pPr>
                  <w:r w:rsidRPr="00206BC9">
                    <w:rPr>
                      <w:sz w:val="16"/>
                      <w:szCs w:val="16"/>
                    </w:rPr>
                    <w:t>0</w:t>
                  </w:r>
                </w:p>
              </w:tc>
            </w:tr>
            <w:tr w:rsidR="00206BC9" w:rsidRPr="00296D36" w14:paraId="0C3648E1" w14:textId="77777777" w:rsidTr="00F17A15">
              <w:tc>
                <w:tcPr>
                  <w:tcW w:w="2316" w:type="dxa"/>
                </w:tcPr>
                <w:p w14:paraId="040A86E2" w14:textId="77777777" w:rsidR="00206BC9" w:rsidRPr="00206BC9" w:rsidRDefault="00206BC9" w:rsidP="008E6471">
                  <w:pPr>
                    <w:spacing w:after="0"/>
                    <w:rPr>
                      <w:sz w:val="16"/>
                      <w:szCs w:val="16"/>
                    </w:rPr>
                  </w:pPr>
                  <w:r w:rsidRPr="00206BC9">
                    <w:rPr>
                      <w:sz w:val="16"/>
                      <w:szCs w:val="16"/>
                    </w:rPr>
                    <w:t>d. ohne Rechnungsführung</w:t>
                  </w:r>
                </w:p>
              </w:tc>
              <w:tc>
                <w:tcPr>
                  <w:tcW w:w="1378" w:type="dxa"/>
                </w:tcPr>
                <w:p w14:paraId="22E54067" w14:textId="77777777" w:rsidR="00206BC9" w:rsidRPr="00206BC9" w:rsidRDefault="00206BC9" w:rsidP="008E6471">
                  <w:pPr>
                    <w:spacing w:after="0"/>
                    <w:jc w:val="right"/>
                    <w:rPr>
                      <w:sz w:val="16"/>
                      <w:szCs w:val="16"/>
                    </w:rPr>
                  </w:pPr>
                  <w:r w:rsidRPr="00206BC9">
                    <w:rPr>
                      <w:sz w:val="16"/>
                      <w:szCs w:val="16"/>
                    </w:rPr>
                    <w:t>13</w:t>
                  </w:r>
                </w:p>
              </w:tc>
              <w:tc>
                <w:tcPr>
                  <w:tcW w:w="1296" w:type="dxa"/>
                </w:tcPr>
                <w:p w14:paraId="4FE48104" w14:textId="77777777" w:rsidR="00206BC9" w:rsidRPr="00206BC9" w:rsidRDefault="00206BC9" w:rsidP="008E6471">
                  <w:pPr>
                    <w:spacing w:after="0"/>
                    <w:jc w:val="right"/>
                    <w:rPr>
                      <w:sz w:val="16"/>
                      <w:szCs w:val="16"/>
                    </w:rPr>
                  </w:pPr>
                  <w:r w:rsidRPr="00206BC9">
                    <w:rPr>
                      <w:sz w:val="16"/>
                      <w:szCs w:val="16"/>
                    </w:rPr>
                    <w:t>4</w:t>
                  </w:r>
                </w:p>
              </w:tc>
            </w:tr>
            <w:tr w:rsidR="00206BC9" w:rsidRPr="00296D36" w14:paraId="19A6BF66" w14:textId="77777777" w:rsidTr="00F17A15">
              <w:tc>
                <w:tcPr>
                  <w:tcW w:w="2316" w:type="dxa"/>
                </w:tcPr>
                <w:p w14:paraId="19968BB9" w14:textId="77777777" w:rsidR="00206BC9" w:rsidRPr="00206BC9" w:rsidRDefault="00206BC9" w:rsidP="008E6471">
                  <w:pPr>
                    <w:spacing w:after="0"/>
                    <w:rPr>
                      <w:sz w:val="16"/>
                      <w:szCs w:val="16"/>
                    </w:rPr>
                  </w:pPr>
                  <w:r w:rsidRPr="00206BC9">
                    <w:rPr>
                      <w:sz w:val="16"/>
                      <w:szCs w:val="16"/>
                    </w:rPr>
                    <w:t>d. mit Rechnungsführung</w:t>
                  </w:r>
                </w:p>
              </w:tc>
              <w:tc>
                <w:tcPr>
                  <w:tcW w:w="1378" w:type="dxa"/>
                </w:tcPr>
                <w:p w14:paraId="3F7B0396" w14:textId="77777777" w:rsidR="00206BC9" w:rsidRPr="00206BC9" w:rsidRDefault="00206BC9" w:rsidP="008E6471">
                  <w:pPr>
                    <w:spacing w:after="0"/>
                    <w:jc w:val="right"/>
                    <w:rPr>
                      <w:sz w:val="16"/>
                      <w:szCs w:val="16"/>
                    </w:rPr>
                  </w:pPr>
                  <w:r w:rsidRPr="00206BC9">
                    <w:rPr>
                      <w:sz w:val="16"/>
                      <w:szCs w:val="16"/>
                    </w:rPr>
                    <w:t>18</w:t>
                  </w:r>
                </w:p>
              </w:tc>
              <w:tc>
                <w:tcPr>
                  <w:tcW w:w="1296" w:type="dxa"/>
                </w:tcPr>
                <w:p w14:paraId="6D4560FD" w14:textId="77777777" w:rsidR="00206BC9" w:rsidRPr="00206BC9" w:rsidRDefault="00206BC9" w:rsidP="008E6471">
                  <w:pPr>
                    <w:spacing w:after="0"/>
                    <w:jc w:val="right"/>
                    <w:rPr>
                      <w:sz w:val="16"/>
                      <w:szCs w:val="16"/>
                    </w:rPr>
                  </w:pPr>
                  <w:r w:rsidRPr="00206BC9">
                    <w:rPr>
                      <w:sz w:val="16"/>
                      <w:szCs w:val="16"/>
                    </w:rPr>
                    <w:t>16</w:t>
                  </w:r>
                </w:p>
              </w:tc>
            </w:tr>
            <w:tr w:rsidR="00206BC9" w:rsidRPr="00296D36" w14:paraId="0318AD9C" w14:textId="77777777" w:rsidTr="00F17A15">
              <w:tc>
                <w:tcPr>
                  <w:tcW w:w="2316" w:type="dxa"/>
                </w:tcPr>
                <w:p w14:paraId="2D097EB4" w14:textId="77777777" w:rsidR="00206BC9" w:rsidRPr="00206BC9" w:rsidRDefault="00206BC9" w:rsidP="008E6471">
                  <w:pPr>
                    <w:spacing w:after="0"/>
                    <w:rPr>
                      <w:sz w:val="16"/>
                      <w:szCs w:val="16"/>
                    </w:rPr>
                  </w:pPr>
                  <w:r w:rsidRPr="00206BC9">
                    <w:rPr>
                      <w:sz w:val="16"/>
                      <w:szCs w:val="16"/>
                    </w:rPr>
                    <w:t>d. Zusatz: Aufwand in Zusammenhang mit FU</w:t>
                  </w:r>
                </w:p>
              </w:tc>
              <w:tc>
                <w:tcPr>
                  <w:tcW w:w="1378" w:type="dxa"/>
                  <w:vAlign w:val="bottom"/>
                </w:tcPr>
                <w:p w14:paraId="604E8047" w14:textId="77777777" w:rsidR="00206BC9" w:rsidRPr="00206BC9" w:rsidRDefault="00206BC9" w:rsidP="008E6471">
                  <w:pPr>
                    <w:spacing w:after="0"/>
                    <w:jc w:val="right"/>
                    <w:rPr>
                      <w:sz w:val="16"/>
                      <w:szCs w:val="16"/>
                    </w:rPr>
                  </w:pPr>
                  <w:r w:rsidRPr="00206BC9">
                    <w:rPr>
                      <w:sz w:val="16"/>
                      <w:szCs w:val="16"/>
                    </w:rPr>
                    <w:t>5</w:t>
                  </w:r>
                </w:p>
              </w:tc>
              <w:tc>
                <w:tcPr>
                  <w:tcW w:w="1296" w:type="dxa"/>
                  <w:vAlign w:val="bottom"/>
                </w:tcPr>
                <w:p w14:paraId="3E9C092C" w14:textId="77777777" w:rsidR="00206BC9" w:rsidRPr="00206BC9" w:rsidRDefault="00206BC9" w:rsidP="008E6471">
                  <w:pPr>
                    <w:spacing w:after="0"/>
                    <w:jc w:val="right"/>
                    <w:rPr>
                      <w:sz w:val="16"/>
                      <w:szCs w:val="16"/>
                    </w:rPr>
                  </w:pPr>
                  <w:r w:rsidRPr="00206BC9">
                    <w:rPr>
                      <w:sz w:val="16"/>
                      <w:szCs w:val="16"/>
                    </w:rPr>
                    <w:t>0</w:t>
                  </w:r>
                </w:p>
              </w:tc>
            </w:tr>
            <w:tr w:rsidR="00206BC9" w:rsidRPr="00296D36" w14:paraId="791B73DE" w14:textId="77777777" w:rsidTr="00F17A15">
              <w:tc>
                <w:tcPr>
                  <w:tcW w:w="2316" w:type="dxa"/>
                </w:tcPr>
                <w:p w14:paraId="64C8FE3B" w14:textId="77777777" w:rsidR="00206BC9" w:rsidRPr="00206BC9" w:rsidRDefault="00206BC9" w:rsidP="008E6471">
                  <w:pPr>
                    <w:spacing w:after="0"/>
                    <w:rPr>
                      <w:sz w:val="16"/>
                      <w:szCs w:val="16"/>
                    </w:rPr>
                  </w:pPr>
                  <w:r w:rsidRPr="00206BC9">
                    <w:rPr>
                      <w:sz w:val="16"/>
                      <w:szCs w:val="16"/>
                    </w:rPr>
                    <w:t>e.</w:t>
                  </w:r>
                </w:p>
              </w:tc>
              <w:tc>
                <w:tcPr>
                  <w:tcW w:w="2674" w:type="dxa"/>
                  <w:gridSpan w:val="2"/>
                </w:tcPr>
                <w:p w14:paraId="0DCDFEFF" w14:textId="77777777" w:rsidR="00206BC9" w:rsidRDefault="00206BC9" w:rsidP="008E6471">
                  <w:pPr>
                    <w:spacing w:after="0"/>
                    <w:rPr>
                      <w:sz w:val="16"/>
                      <w:szCs w:val="16"/>
                    </w:rPr>
                  </w:pPr>
                  <w:r>
                    <w:rPr>
                      <w:sz w:val="16"/>
                      <w:szCs w:val="16"/>
                    </w:rPr>
                    <w:t>Differenzierung nach:</w:t>
                  </w:r>
                </w:p>
                <w:p w14:paraId="32BC33C9" w14:textId="77777777" w:rsidR="00206BC9" w:rsidRPr="00206BC9" w:rsidRDefault="00206BC9" w:rsidP="00206BC9">
                  <w:pPr>
                    <w:rPr>
                      <w:sz w:val="16"/>
                      <w:szCs w:val="16"/>
                    </w:rPr>
                  </w:pPr>
                  <w:r w:rsidRPr="00206BC9">
                    <w:rPr>
                      <w:sz w:val="16"/>
                      <w:szCs w:val="16"/>
                    </w:rPr>
                    <w:t>Abklärung der Pflegefamilie,</w:t>
                  </w:r>
                  <w:r>
                    <w:rPr>
                      <w:sz w:val="16"/>
                      <w:szCs w:val="16"/>
                    </w:rPr>
                    <w:t xml:space="preserve"> </w:t>
                  </w:r>
                  <w:r w:rsidRPr="00206BC9">
                    <w:rPr>
                      <w:sz w:val="16"/>
                      <w:szCs w:val="16"/>
                    </w:rPr>
                    <w:t xml:space="preserve">Passung des Kindes bei einer vorgesehenen Platzierung </w:t>
                  </w:r>
                  <w:r>
                    <w:rPr>
                      <w:sz w:val="16"/>
                      <w:szCs w:val="16"/>
                    </w:rPr>
                    <w:t xml:space="preserve"> </w:t>
                  </w:r>
                  <w:r w:rsidRPr="00206BC9">
                    <w:rPr>
                      <w:sz w:val="16"/>
                      <w:szCs w:val="16"/>
                    </w:rPr>
                    <w:t xml:space="preserve">und </w:t>
                  </w:r>
                  <w:r>
                    <w:rPr>
                      <w:sz w:val="16"/>
                      <w:szCs w:val="16"/>
                    </w:rPr>
                    <w:t xml:space="preserve"> </w:t>
                  </w:r>
                  <w:r w:rsidRPr="00206BC9">
                    <w:rPr>
                      <w:sz w:val="16"/>
                      <w:szCs w:val="16"/>
                    </w:rPr>
                    <w:t xml:space="preserve">Pflegekinderaufsicht. </w:t>
                  </w:r>
                </w:p>
              </w:tc>
            </w:tr>
            <w:tr w:rsidR="00206BC9" w:rsidRPr="00296D36" w14:paraId="2D0F5D2E" w14:textId="77777777" w:rsidTr="00F17A15">
              <w:tc>
                <w:tcPr>
                  <w:tcW w:w="2316" w:type="dxa"/>
                </w:tcPr>
                <w:p w14:paraId="37F372CB" w14:textId="77777777" w:rsidR="00206BC9" w:rsidRPr="00206BC9" w:rsidRDefault="00206BC9" w:rsidP="008E6471">
                  <w:pPr>
                    <w:spacing w:after="0"/>
                    <w:rPr>
                      <w:sz w:val="16"/>
                      <w:szCs w:val="16"/>
                    </w:rPr>
                  </w:pPr>
                  <w:r w:rsidRPr="00206BC9">
                    <w:rPr>
                      <w:sz w:val="16"/>
                      <w:szCs w:val="16"/>
                    </w:rPr>
                    <w:t xml:space="preserve">g. </w:t>
                  </w:r>
                </w:p>
              </w:tc>
              <w:tc>
                <w:tcPr>
                  <w:tcW w:w="1378" w:type="dxa"/>
                </w:tcPr>
                <w:p w14:paraId="1187AE8A" w14:textId="77777777" w:rsidR="00206BC9" w:rsidRPr="00206BC9" w:rsidRDefault="00206BC9" w:rsidP="008E6471">
                  <w:pPr>
                    <w:spacing w:after="0"/>
                    <w:jc w:val="right"/>
                    <w:rPr>
                      <w:sz w:val="16"/>
                      <w:szCs w:val="16"/>
                    </w:rPr>
                  </w:pPr>
                  <w:r w:rsidRPr="00206BC9">
                    <w:rPr>
                      <w:sz w:val="16"/>
                      <w:szCs w:val="16"/>
                    </w:rPr>
                    <w:t>10</w:t>
                  </w:r>
                </w:p>
              </w:tc>
              <w:tc>
                <w:tcPr>
                  <w:tcW w:w="1296" w:type="dxa"/>
                </w:tcPr>
                <w:p w14:paraId="1D3FA0FA" w14:textId="77777777" w:rsidR="00206BC9" w:rsidRPr="00206BC9" w:rsidRDefault="00206BC9" w:rsidP="008E6471">
                  <w:pPr>
                    <w:spacing w:after="0"/>
                    <w:jc w:val="right"/>
                    <w:rPr>
                      <w:sz w:val="16"/>
                      <w:szCs w:val="16"/>
                    </w:rPr>
                  </w:pPr>
                  <w:r w:rsidRPr="00206BC9">
                    <w:rPr>
                      <w:sz w:val="16"/>
                      <w:szCs w:val="16"/>
                    </w:rPr>
                    <w:t>--</w:t>
                  </w:r>
                </w:p>
              </w:tc>
            </w:tr>
            <w:tr w:rsidR="005C5596" w:rsidRPr="00296D36" w14:paraId="26888BBC" w14:textId="77777777" w:rsidTr="00F17A15">
              <w:tc>
                <w:tcPr>
                  <w:tcW w:w="2316" w:type="dxa"/>
                </w:tcPr>
                <w:p w14:paraId="417676B1" w14:textId="77777777" w:rsidR="005C5596" w:rsidRPr="00206BC9" w:rsidRDefault="005C5596" w:rsidP="008E6471">
                  <w:pPr>
                    <w:spacing w:after="0"/>
                    <w:rPr>
                      <w:sz w:val="16"/>
                      <w:szCs w:val="16"/>
                    </w:rPr>
                  </w:pPr>
                  <w:r>
                    <w:rPr>
                      <w:sz w:val="16"/>
                      <w:szCs w:val="16"/>
                    </w:rPr>
                    <w:t>l. (neu) Berechnung von Massnahmenkostenbeiträgen und deren Inkasso</w:t>
                  </w:r>
                  <w:r w:rsidR="00F17A15">
                    <w:rPr>
                      <w:sz w:val="16"/>
                      <w:szCs w:val="16"/>
                    </w:rPr>
                    <w:t xml:space="preserve"> im Auftrag der KESB</w:t>
                  </w:r>
                </w:p>
              </w:tc>
              <w:tc>
                <w:tcPr>
                  <w:tcW w:w="1378" w:type="dxa"/>
                </w:tcPr>
                <w:p w14:paraId="78B43AFD" w14:textId="2CC3DE09" w:rsidR="005C5596" w:rsidRPr="00206BC9" w:rsidRDefault="00C07632" w:rsidP="008E6471">
                  <w:pPr>
                    <w:spacing w:after="0"/>
                    <w:jc w:val="right"/>
                    <w:rPr>
                      <w:sz w:val="16"/>
                      <w:szCs w:val="16"/>
                    </w:rPr>
                  </w:pPr>
                  <w:r>
                    <w:rPr>
                      <w:sz w:val="16"/>
                      <w:szCs w:val="16"/>
                    </w:rPr>
                    <w:t xml:space="preserve">Verweis auf und Regelung in SHV </w:t>
                  </w:r>
                </w:p>
              </w:tc>
              <w:tc>
                <w:tcPr>
                  <w:tcW w:w="1296" w:type="dxa"/>
                </w:tcPr>
                <w:p w14:paraId="3548022F" w14:textId="1F615CE3" w:rsidR="005C5596" w:rsidRPr="00206BC9" w:rsidRDefault="00C07632" w:rsidP="008E6471">
                  <w:pPr>
                    <w:spacing w:after="0"/>
                    <w:jc w:val="right"/>
                    <w:rPr>
                      <w:sz w:val="16"/>
                      <w:szCs w:val="16"/>
                    </w:rPr>
                  </w:pPr>
                  <w:r>
                    <w:rPr>
                      <w:sz w:val="16"/>
                      <w:szCs w:val="16"/>
                    </w:rPr>
                    <w:t>Verweis auf und Regelung in SHV</w:t>
                  </w:r>
                </w:p>
              </w:tc>
            </w:tr>
            <w:tr w:rsidR="00F17A15" w:rsidRPr="00296D36" w14:paraId="2F36D346" w14:textId="77777777" w:rsidTr="00F17A15">
              <w:tc>
                <w:tcPr>
                  <w:tcW w:w="2316" w:type="dxa"/>
                </w:tcPr>
                <w:p w14:paraId="5F6569C9" w14:textId="77777777" w:rsidR="00F17A15" w:rsidRDefault="008D10DF" w:rsidP="008E6471">
                  <w:pPr>
                    <w:spacing w:after="0"/>
                    <w:rPr>
                      <w:sz w:val="16"/>
                      <w:szCs w:val="16"/>
                    </w:rPr>
                  </w:pPr>
                  <w:r>
                    <w:rPr>
                      <w:sz w:val="16"/>
                      <w:szCs w:val="16"/>
                    </w:rPr>
                    <w:t>m</w:t>
                  </w:r>
                  <w:r w:rsidR="00F17A15">
                    <w:rPr>
                      <w:sz w:val="16"/>
                      <w:szCs w:val="16"/>
                    </w:rPr>
                    <w:t>. (neu): für die Inventaraufnahme bei Beistandschaften</w:t>
                  </w:r>
                </w:p>
              </w:tc>
              <w:tc>
                <w:tcPr>
                  <w:tcW w:w="1378" w:type="dxa"/>
                </w:tcPr>
                <w:p w14:paraId="50983097" w14:textId="7CD8EFF3" w:rsidR="00F17A15" w:rsidRDefault="00537FF1" w:rsidP="008E6471">
                  <w:pPr>
                    <w:spacing w:after="0"/>
                    <w:jc w:val="right"/>
                    <w:rPr>
                      <w:sz w:val="16"/>
                      <w:szCs w:val="16"/>
                    </w:rPr>
                  </w:pPr>
                  <w:r>
                    <w:rPr>
                      <w:sz w:val="16"/>
                      <w:szCs w:val="16"/>
                    </w:rPr>
                    <w:t>2</w:t>
                  </w:r>
                </w:p>
              </w:tc>
              <w:tc>
                <w:tcPr>
                  <w:tcW w:w="1296" w:type="dxa"/>
                </w:tcPr>
                <w:p w14:paraId="798CF242" w14:textId="297A2F18" w:rsidR="00F17A15" w:rsidRDefault="00537FF1" w:rsidP="008E6471">
                  <w:pPr>
                    <w:spacing w:after="0"/>
                    <w:jc w:val="right"/>
                    <w:rPr>
                      <w:sz w:val="16"/>
                      <w:szCs w:val="16"/>
                    </w:rPr>
                  </w:pPr>
                  <w:r>
                    <w:rPr>
                      <w:sz w:val="16"/>
                      <w:szCs w:val="16"/>
                    </w:rPr>
                    <w:t>4</w:t>
                  </w:r>
                </w:p>
              </w:tc>
            </w:tr>
            <w:tr w:rsidR="00E03253" w:rsidRPr="00296D36" w14:paraId="2BCCA98C" w14:textId="77777777" w:rsidTr="00F17A15">
              <w:tc>
                <w:tcPr>
                  <w:tcW w:w="2316" w:type="dxa"/>
                </w:tcPr>
                <w:p w14:paraId="655403A9" w14:textId="77777777" w:rsidR="00E03253" w:rsidRDefault="00E03253" w:rsidP="008E6471">
                  <w:pPr>
                    <w:spacing w:after="0"/>
                    <w:rPr>
                      <w:sz w:val="16"/>
                      <w:szCs w:val="16"/>
                    </w:rPr>
                  </w:pPr>
                  <w:r>
                    <w:rPr>
                      <w:sz w:val="16"/>
                      <w:szCs w:val="16"/>
                    </w:rPr>
                    <w:t xml:space="preserve">o. (neu): Präventive bzw. freiwillige Beratungen </w:t>
                  </w:r>
                </w:p>
              </w:tc>
              <w:tc>
                <w:tcPr>
                  <w:tcW w:w="1378" w:type="dxa"/>
                </w:tcPr>
                <w:p w14:paraId="631D656D" w14:textId="4F6D8243" w:rsidR="00E03253" w:rsidRDefault="00EF3677" w:rsidP="008E6471">
                  <w:pPr>
                    <w:spacing w:after="0"/>
                    <w:jc w:val="right"/>
                    <w:rPr>
                      <w:sz w:val="16"/>
                      <w:szCs w:val="16"/>
                    </w:rPr>
                  </w:pPr>
                  <w:r>
                    <w:rPr>
                      <w:sz w:val="16"/>
                      <w:szCs w:val="16"/>
                    </w:rPr>
                    <w:t>22</w:t>
                  </w:r>
                </w:p>
              </w:tc>
              <w:tc>
                <w:tcPr>
                  <w:tcW w:w="1296" w:type="dxa"/>
                </w:tcPr>
                <w:p w14:paraId="79C8EA2D" w14:textId="372B1650" w:rsidR="00E03253" w:rsidRDefault="00EF3677" w:rsidP="008E6471">
                  <w:pPr>
                    <w:spacing w:after="0"/>
                    <w:jc w:val="right"/>
                    <w:rPr>
                      <w:sz w:val="16"/>
                      <w:szCs w:val="16"/>
                    </w:rPr>
                  </w:pPr>
                  <w:r>
                    <w:rPr>
                      <w:sz w:val="16"/>
                      <w:szCs w:val="16"/>
                    </w:rPr>
                    <w:t>11</w:t>
                  </w:r>
                </w:p>
              </w:tc>
            </w:tr>
          </w:tbl>
          <w:p w14:paraId="65913A98" w14:textId="77777777" w:rsidR="00206BC9" w:rsidRDefault="00206BC9" w:rsidP="00206BC9">
            <w:pPr>
              <w:cnfStyle w:val="000000000000" w:firstRow="0" w:lastRow="0" w:firstColumn="0" w:lastColumn="0" w:oddVBand="0" w:evenVBand="0" w:oddHBand="0" w:evenHBand="0" w:firstRowFirstColumn="0" w:firstRowLastColumn="0" w:lastRowFirstColumn="0" w:lastRowLastColumn="0"/>
            </w:pPr>
          </w:p>
        </w:tc>
      </w:tr>
      <w:tr w:rsidR="00E7158D" w14:paraId="1AA30D9A" w14:textId="77777777" w:rsidTr="00B41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2" w:type="dxa"/>
          </w:tcPr>
          <w:p w14:paraId="034DF81C" w14:textId="77777777" w:rsidR="00E7158D" w:rsidRDefault="00E7158D" w:rsidP="00D80CF9">
            <w:r>
              <w:lastRenderedPageBreak/>
              <w:t xml:space="preserve">Artikel </w:t>
            </w:r>
            <w:r w:rsidR="00D80CF9">
              <w:t>7 Abs. 2</w:t>
            </w:r>
          </w:p>
        </w:tc>
        <w:tc>
          <w:tcPr>
            <w:tcW w:w="6109" w:type="dxa"/>
          </w:tcPr>
          <w:p w14:paraId="3EA433DB" w14:textId="3FD2121B" w:rsidR="00375183" w:rsidRDefault="00375183" w:rsidP="008E6471">
            <w:pPr>
              <w:cnfStyle w:val="000000100000" w:firstRow="0" w:lastRow="0" w:firstColumn="0" w:lastColumn="0" w:oddVBand="0" w:evenVBand="0" w:oddHBand="1" w:evenHBand="0" w:firstRowFirstColumn="0" w:firstRowLastColumn="0" w:lastRowFirstColumn="0" w:lastRowLastColumn="0"/>
            </w:pPr>
            <w:r>
              <w:t>Sowohl in der Sozialhilfe als auch bei den übrigen Fallpauschalen im Kindes- und Erwachsenenbereich werden die kumulierten Fälle pro Jahr gezählt. Wir fordern, dass dies auch bei den Mandaten so gemacht wird. Unsere Erhebungen haben gezeigt, dass die Zahlen sehr unterschiedlich sind, je nachdem ob das Stichtagsmodell oder die Jahres</w:t>
            </w:r>
            <w:r w:rsidR="00827C56">
              <w:t xml:space="preserve">zahlen gewählt </w:t>
            </w:r>
            <w:r w:rsidR="00CC68A6">
              <w:t>werden</w:t>
            </w:r>
            <w:r w:rsidR="00827C56">
              <w:t xml:space="preserve">. Fälle, die im Verlaufe des Jahres aufgenommen oder abgeschlossen werden, geben aufgrund der Initial- bzw. Abschlussarbeiten </w:t>
            </w:r>
            <w:r w:rsidR="00CC68A6">
              <w:t>mindestens</w:t>
            </w:r>
            <w:r w:rsidR="00827C56">
              <w:t xml:space="preserve"> gleich viel Aufwand wie laufende Fälle, die am Stichtag aktiv sind und sind entsprechend zu entschädigen. </w:t>
            </w:r>
          </w:p>
          <w:p w14:paraId="6133F687" w14:textId="0480FD8A" w:rsidR="00827C56" w:rsidRDefault="00827C56" w:rsidP="00CC68A6">
            <w:pPr>
              <w:cnfStyle w:val="000000100000" w:firstRow="0" w:lastRow="0" w:firstColumn="0" w:lastColumn="0" w:oddVBand="0" w:evenVBand="0" w:oddHBand="1" w:evenHBand="0" w:firstRowFirstColumn="0" w:firstRowLastColumn="0" w:lastRowFirstColumn="0" w:lastRowLastColumn="0"/>
            </w:pPr>
            <w:r>
              <w:t xml:space="preserve">Falls entgegen unserer Forderung am Stichtag festgehalten wird, ist ein solcher in </w:t>
            </w:r>
            <w:r w:rsidR="006C6FCD">
              <w:t xml:space="preserve">der Verordnung </w:t>
            </w:r>
            <w:r>
              <w:t>fix</w:t>
            </w:r>
            <w:r w:rsidR="006C6FCD">
              <w:t xml:space="preserve"> festzulegen.</w:t>
            </w:r>
          </w:p>
        </w:tc>
        <w:tc>
          <w:tcPr>
            <w:tcW w:w="5216" w:type="dxa"/>
          </w:tcPr>
          <w:p w14:paraId="43C2D458" w14:textId="77777777" w:rsidR="00E7158D" w:rsidRDefault="00827C56" w:rsidP="008E6471">
            <w:pPr>
              <w:cnfStyle w:val="000000100000" w:firstRow="0" w:lastRow="0" w:firstColumn="0" w:lastColumn="0" w:oddVBand="0" w:evenVBand="0" w:oddHBand="1" w:evenHBand="0" w:firstRowFirstColumn="0" w:firstRowLastColumn="0" w:lastRowFirstColumn="0" w:lastRowLastColumn="0"/>
            </w:pPr>
            <w:r>
              <w:t>Abs. 2 ist zu streichen.</w:t>
            </w:r>
          </w:p>
          <w:p w14:paraId="0FA6273D" w14:textId="77777777" w:rsidR="00827C56" w:rsidRDefault="00827C56" w:rsidP="008E6471">
            <w:pPr>
              <w:cnfStyle w:val="000000100000" w:firstRow="0" w:lastRow="0" w:firstColumn="0" w:lastColumn="0" w:oddVBand="0" w:evenVBand="0" w:oddHBand="1" w:evenHBand="0" w:firstRowFirstColumn="0" w:firstRowLastColumn="0" w:lastRowFirstColumn="0" w:lastRowLastColumn="0"/>
            </w:pPr>
            <w:r>
              <w:t>Die Mandatsführung ist im Abs. 1 aufzunehmen.</w:t>
            </w:r>
          </w:p>
          <w:p w14:paraId="2DD1D8A0" w14:textId="77777777" w:rsidR="00827C56" w:rsidRDefault="00827C56" w:rsidP="008E6471">
            <w:pPr>
              <w:cnfStyle w:val="000000100000" w:firstRow="0" w:lastRow="0" w:firstColumn="0" w:lastColumn="0" w:oddVBand="0" w:evenVBand="0" w:oddHBand="1" w:evenHBand="0" w:firstRowFirstColumn="0" w:firstRowLastColumn="0" w:lastRowFirstColumn="0" w:lastRowLastColumn="0"/>
            </w:pPr>
          </w:p>
          <w:p w14:paraId="66703569" w14:textId="77777777" w:rsidR="00827C56" w:rsidRDefault="00827C56" w:rsidP="008E6471">
            <w:pPr>
              <w:cnfStyle w:val="000000100000" w:firstRow="0" w:lastRow="0" w:firstColumn="0" w:lastColumn="0" w:oddVBand="0" w:evenVBand="0" w:oddHBand="1" w:evenHBand="0" w:firstRowFirstColumn="0" w:firstRowLastColumn="0" w:lastRowFirstColumn="0" w:lastRowLastColumn="0"/>
            </w:pPr>
          </w:p>
          <w:p w14:paraId="79BDDB54" w14:textId="77777777" w:rsidR="00827C56" w:rsidRDefault="00827C56" w:rsidP="008E6471">
            <w:pPr>
              <w:cnfStyle w:val="000000100000" w:firstRow="0" w:lastRow="0" w:firstColumn="0" w:lastColumn="0" w:oddVBand="0" w:evenVBand="0" w:oddHBand="1" w:evenHBand="0" w:firstRowFirstColumn="0" w:firstRowLastColumn="0" w:lastRowFirstColumn="0" w:lastRowLastColumn="0"/>
            </w:pPr>
          </w:p>
          <w:p w14:paraId="7B803D46" w14:textId="77777777" w:rsidR="00827C56" w:rsidRDefault="00827C56" w:rsidP="008E6471">
            <w:pPr>
              <w:cnfStyle w:val="000000100000" w:firstRow="0" w:lastRow="0" w:firstColumn="0" w:lastColumn="0" w:oddVBand="0" w:evenVBand="0" w:oddHBand="1" w:evenHBand="0" w:firstRowFirstColumn="0" w:firstRowLastColumn="0" w:lastRowFirstColumn="0" w:lastRowLastColumn="0"/>
            </w:pPr>
          </w:p>
          <w:p w14:paraId="21858744" w14:textId="7426F868" w:rsidR="00827C56" w:rsidRDefault="00827C56" w:rsidP="00CC68A6">
            <w:pPr>
              <w:cnfStyle w:val="000000100000" w:firstRow="0" w:lastRow="0" w:firstColumn="0" w:lastColumn="0" w:oddVBand="0" w:evenVBand="0" w:oddHBand="1" w:evenHBand="0" w:firstRowFirstColumn="0" w:firstRowLastColumn="0" w:lastRowFirstColumn="0" w:lastRowLastColumn="0"/>
            </w:pPr>
            <w:r>
              <w:t>Ein allfälliger Stichtag ist per 31.12. festzulegen.</w:t>
            </w:r>
          </w:p>
        </w:tc>
      </w:tr>
      <w:tr w:rsidR="006C6FCD" w14:paraId="3D6D84F0" w14:textId="77777777" w:rsidTr="00B419E6">
        <w:tc>
          <w:tcPr>
            <w:cnfStyle w:val="001000000000" w:firstRow="0" w:lastRow="0" w:firstColumn="1" w:lastColumn="0" w:oddVBand="0" w:evenVBand="0" w:oddHBand="0" w:evenHBand="0" w:firstRowFirstColumn="0" w:firstRowLastColumn="0" w:lastRowFirstColumn="0" w:lastRowLastColumn="0"/>
            <w:tcW w:w="3242" w:type="dxa"/>
          </w:tcPr>
          <w:p w14:paraId="7C4D94E0" w14:textId="743BFDC3" w:rsidR="006C6FCD" w:rsidRDefault="006C6FCD" w:rsidP="00D80CF9">
            <w:r>
              <w:t>Artikel 7 Abs. 3</w:t>
            </w:r>
          </w:p>
        </w:tc>
        <w:tc>
          <w:tcPr>
            <w:tcW w:w="6109" w:type="dxa"/>
          </w:tcPr>
          <w:p w14:paraId="47553D9A" w14:textId="77777777" w:rsidR="006C6FCD" w:rsidRDefault="006C6FCD" w:rsidP="006C6FCD">
            <w:pPr>
              <w:cnfStyle w:val="000000000000" w:firstRow="0" w:lastRow="0" w:firstColumn="0" w:lastColumn="0" w:oddVBand="0" w:evenVBand="0" w:oddHBand="0" w:evenHBand="0" w:firstRowFirstColumn="0" w:firstRowLastColumn="0" w:lastRowFirstColumn="0" w:lastRowLastColumn="0"/>
            </w:pPr>
            <w:r>
              <w:t>Die Formulierungen von und Art. 7 Abs. 3 ZAV und Art. 36 Abs. 1 SHV bezüglich Anpassung der Fallpauschalen an die für das Kantonspersonal beschlossenen Gehaltsentwicklung sind zu vereinheitlichen.</w:t>
            </w:r>
          </w:p>
        </w:tc>
        <w:tc>
          <w:tcPr>
            <w:tcW w:w="5216" w:type="dxa"/>
          </w:tcPr>
          <w:p w14:paraId="2C2909E6" w14:textId="77777777" w:rsidR="006C6FCD" w:rsidRDefault="006C6FCD" w:rsidP="006C6FCD">
            <w:pPr>
              <w:cnfStyle w:val="000000000000" w:firstRow="0" w:lastRow="0" w:firstColumn="0" w:lastColumn="0" w:oddVBand="0" w:evenVBand="0" w:oddHBand="0" w:evenHBand="0" w:firstRowFirstColumn="0" w:firstRowLastColumn="0" w:lastRowFirstColumn="0" w:lastRowLastColumn="0"/>
            </w:pPr>
            <w:r>
              <w:t>Gleiche Formulierungen in ZAV und SHV</w:t>
            </w:r>
          </w:p>
        </w:tc>
      </w:tr>
      <w:tr w:rsidR="00827C56" w14:paraId="632DC602" w14:textId="77777777" w:rsidTr="006C6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2" w:type="dxa"/>
          </w:tcPr>
          <w:p w14:paraId="62958221" w14:textId="741826F2" w:rsidR="00827C56" w:rsidRDefault="00B74121" w:rsidP="00D80CF9">
            <w:r w:rsidRPr="00B74121">
              <w:rPr>
                <w:color w:val="auto"/>
                <w:highlight w:val="yellow"/>
              </w:rPr>
              <w:t>Artikel 7 allgemein</w:t>
            </w:r>
          </w:p>
        </w:tc>
        <w:tc>
          <w:tcPr>
            <w:tcW w:w="6109" w:type="dxa"/>
          </w:tcPr>
          <w:p w14:paraId="1CAE193C" w14:textId="5E0F86B3" w:rsidR="00827C56" w:rsidRDefault="00B74121" w:rsidP="008E6471">
            <w:pPr>
              <w:cnfStyle w:val="000000100000" w:firstRow="0" w:lastRow="0" w:firstColumn="0" w:lastColumn="0" w:oddVBand="0" w:evenVBand="0" w:oddHBand="1" w:evenHBand="0" w:firstRowFirstColumn="0" w:firstRowLastColumn="0" w:lastRowFirstColumn="0" w:lastRowLastColumn="0"/>
            </w:pPr>
            <w:r>
              <w:t>Es ist in der Verordnung zu regeln, wann ein Mandat als abgeschlossen gilt und nicht mehr gezählt werden kann. Wir beantragen, dass ein Mandat bis zur Genehmigung des Schlussberichtes als Fall gilt, weil bis zu diesem Zeitpunkt der/die Mandatstragende in der Verantwortung bleibt.</w:t>
            </w:r>
          </w:p>
        </w:tc>
        <w:tc>
          <w:tcPr>
            <w:tcW w:w="5216" w:type="dxa"/>
          </w:tcPr>
          <w:p w14:paraId="5E0AE631" w14:textId="3A5E2A4B" w:rsidR="00827C56" w:rsidRDefault="00B74121" w:rsidP="008E6471">
            <w:pPr>
              <w:cnfStyle w:val="000000100000" w:firstRow="0" w:lastRow="0" w:firstColumn="0" w:lastColumn="0" w:oddVBand="0" w:evenVBand="0" w:oddHBand="1" w:evenHBand="0" w:firstRowFirstColumn="0" w:firstRowLastColumn="0" w:lastRowFirstColumn="0" w:lastRowLastColumn="0"/>
            </w:pPr>
            <w:r>
              <w:t>Definition des Fallabschlusses hier oder an einer anderen Stelle in der Verordnung.</w:t>
            </w:r>
          </w:p>
        </w:tc>
      </w:tr>
      <w:tr w:rsidR="00460C6C" w14:paraId="4D0AB52E" w14:textId="77777777" w:rsidTr="006C6FCD">
        <w:tc>
          <w:tcPr>
            <w:cnfStyle w:val="001000000000" w:firstRow="0" w:lastRow="0" w:firstColumn="1" w:lastColumn="0" w:oddVBand="0" w:evenVBand="0" w:oddHBand="0" w:evenHBand="0" w:firstRowFirstColumn="0" w:firstRowLastColumn="0" w:lastRowFirstColumn="0" w:lastRowLastColumn="0"/>
            <w:tcW w:w="3242" w:type="dxa"/>
          </w:tcPr>
          <w:p w14:paraId="2D91B07F" w14:textId="77777777" w:rsidR="00460C6C" w:rsidRDefault="00460C6C" w:rsidP="00D80CF9">
            <w:r>
              <w:t>Artikel 8 Abs. 1</w:t>
            </w:r>
          </w:p>
        </w:tc>
        <w:tc>
          <w:tcPr>
            <w:tcW w:w="6109" w:type="dxa"/>
          </w:tcPr>
          <w:p w14:paraId="492CD2A6" w14:textId="77777777" w:rsidR="00460C6C" w:rsidRDefault="00C75671" w:rsidP="008E6471">
            <w:pPr>
              <w:cnfStyle w:val="000000000000" w:firstRow="0" w:lastRow="0" w:firstColumn="0" w:lastColumn="0" w:oddVBand="0" w:evenVBand="0" w:oddHBand="0" w:evenHBand="0" w:firstRowFirstColumn="0" w:firstRowLastColumn="0" w:lastRowFirstColumn="0" w:lastRowLastColumn="0"/>
            </w:pPr>
            <w:r>
              <w:t>Keine Bemerkungen</w:t>
            </w:r>
          </w:p>
        </w:tc>
        <w:tc>
          <w:tcPr>
            <w:tcW w:w="5216" w:type="dxa"/>
          </w:tcPr>
          <w:p w14:paraId="579A1454" w14:textId="77777777" w:rsidR="00460C6C" w:rsidRDefault="00460C6C" w:rsidP="008E6471">
            <w:pPr>
              <w:cnfStyle w:val="000000000000" w:firstRow="0" w:lastRow="0" w:firstColumn="0" w:lastColumn="0" w:oddVBand="0" w:evenVBand="0" w:oddHBand="0" w:evenHBand="0" w:firstRowFirstColumn="0" w:firstRowLastColumn="0" w:lastRowFirstColumn="0" w:lastRowLastColumn="0"/>
            </w:pPr>
          </w:p>
        </w:tc>
      </w:tr>
      <w:tr w:rsidR="00460C6C" w14:paraId="5E6B6B0C" w14:textId="77777777" w:rsidTr="006C6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2" w:type="dxa"/>
          </w:tcPr>
          <w:p w14:paraId="2ED5774F" w14:textId="77777777" w:rsidR="00460C6C" w:rsidRDefault="00460C6C" w:rsidP="00D80CF9">
            <w:r>
              <w:t>Artikel 8 Abs. 2</w:t>
            </w:r>
          </w:p>
        </w:tc>
        <w:tc>
          <w:tcPr>
            <w:tcW w:w="6109" w:type="dxa"/>
          </w:tcPr>
          <w:p w14:paraId="4E4EE41F" w14:textId="77777777" w:rsidR="00460C6C" w:rsidRPr="001D5C75" w:rsidRDefault="001D5C75" w:rsidP="00E0621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rPr>
            </w:pPr>
            <w:r>
              <w:rPr>
                <w:rFonts w:cs="Arial"/>
                <w:color w:val="000000"/>
              </w:rPr>
              <w:t>Zusammenschlüsse von Sozialdiensten</w:t>
            </w:r>
            <w:r w:rsidR="00E0621F">
              <w:rPr>
                <w:rFonts w:cs="Arial"/>
                <w:color w:val="000000"/>
              </w:rPr>
              <w:t xml:space="preserve"> bzw. Änderungen bei den angeschlossenen Gemeinden sowie Gemeindefusionen dürfen sich finanziell nicht nachteilig auf die Entschädigung auswirken. </w:t>
            </w:r>
          </w:p>
        </w:tc>
        <w:tc>
          <w:tcPr>
            <w:tcW w:w="5216" w:type="dxa"/>
          </w:tcPr>
          <w:p w14:paraId="43924B9C" w14:textId="77777777" w:rsidR="00460C6C" w:rsidRDefault="00E0621F" w:rsidP="008E6471">
            <w:pPr>
              <w:cnfStyle w:val="000000100000" w:firstRow="0" w:lastRow="0" w:firstColumn="0" w:lastColumn="0" w:oddVBand="0" w:evenVBand="0" w:oddHBand="1" w:evenHBand="0" w:firstRowFirstColumn="0" w:firstRowLastColumn="0" w:lastRowFirstColumn="0" w:lastRowLastColumn="0"/>
            </w:pPr>
            <w:r>
              <w:t xml:space="preserve">Die Regelung ist auf nachteilige Auswirkungen zu überprüfen und allenfalls anzupassen. </w:t>
            </w:r>
          </w:p>
        </w:tc>
      </w:tr>
      <w:tr w:rsidR="00460C6C" w14:paraId="2E93D96F" w14:textId="77777777" w:rsidTr="006C6FCD">
        <w:tc>
          <w:tcPr>
            <w:cnfStyle w:val="001000000000" w:firstRow="0" w:lastRow="0" w:firstColumn="1" w:lastColumn="0" w:oddVBand="0" w:evenVBand="0" w:oddHBand="0" w:evenHBand="0" w:firstRowFirstColumn="0" w:firstRowLastColumn="0" w:lastRowFirstColumn="0" w:lastRowLastColumn="0"/>
            <w:tcW w:w="3242" w:type="dxa"/>
          </w:tcPr>
          <w:p w14:paraId="59F6A138" w14:textId="77777777" w:rsidR="00460C6C" w:rsidRDefault="00460C6C" w:rsidP="00D80CF9">
            <w:r>
              <w:t>Artikel 8 Abs. 3</w:t>
            </w:r>
          </w:p>
        </w:tc>
        <w:tc>
          <w:tcPr>
            <w:tcW w:w="6109" w:type="dxa"/>
          </w:tcPr>
          <w:p w14:paraId="6593D6D4" w14:textId="77777777" w:rsidR="00460C6C" w:rsidRDefault="00C75671" w:rsidP="008E6471">
            <w:pPr>
              <w:cnfStyle w:val="000000000000" w:firstRow="0" w:lastRow="0" w:firstColumn="0" w:lastColumn="0" w:oddVBand="0" w:evenVBand="0" w:oddHBand="0" w:evenHBand="0" w:firstRowFirstColumn="0" w:firstRowLastColumn="0" w:lastRowFirstColumn="0" w:lastRowLastColumn="0"/>
            </w:pPr>
            <w:r>
              <w:t>Keine Bemerkungen</w:t>
            </w:r>
          </w:p>
        </w:tc>
        <w:tc>
          <w:tcPr>
            <w:tcW w:w="5216" w:type="dxa"/>
          </w:tcPr>
          <w:p w14:paraId="73A57C06" w14:textId="77777777" w:rsidR="00460C6C" w:rsidRDefault="00460C6C" w:rsidP="008E6471">
            <w:pPr>
              <w:cnfStyle w:val="000000000000" w:firstRow="0" w:lastRow="0" w:firstColumn="0" w:lastColumn="0" w:oddVBand="0" w:evenVBand="0" w:oddHBand="0" w:evenHBand="0" w:firstRowFirstColumn="0" w:firstRowLastColumn="0" w:lastRowFirstColumn="0" w:lastRowLastColumn="0"/>
            </w:pPr>
          </w:p>
        </w:tc>
      </w:tr>
      <w:tr w:rsidR="00460C6C" w14:paraId="4248D90D" w14:textId="77777777" w:rsidTr="006C6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2" w:type="dxa"/>
          </w:tcPr>
          <w:p w14:paraId="7909367C" w14:textId="77777777" w:rsidR="00460C6C" w:rsidRDefault="00460C6C" w:rsidP="00D80CF9">
            <w:r>
              <w:t>Artikel 8 Abs. 4</w:t>
            </w:r>
          </w:p>
        </w:tc>
        <w:tc>
          <w:tcPr>
            <w:tcW w:w="6109" w:type="dxa"/>
          </w:tcPr>
          <w:p w14:paraId="717C37F8" w14:textId="77777777" w:rsidR="00460C6C" w:rsidRDefault="00C75671" w:rsidP="008E6471">
            <w:pPr>
              <w:cnfStyle w:val="000000100000" w:firstRow="0" w:lastRow="0" w:firstColumn="0" w:lastColumn="0" w:oddVBand="0" w:evenVBand="0" w:oddHBand="1" w:evenHBand="0" w:firstRowFirstColumn="0" w:firstRowLastColumn="0" w:lastRowFirstColumn="0" w:lastRowLastColumn="0"/>
            </w:pPr>
            <w:r>
              <w:t>Keine Bemerkungen</w:t>
            </w:r>
          </w:p>
        </w:tc>
        <w:tc>
          <w:tcPr>
            <w:tcW w:w="5216" w:type="dxa"/>
          </w:tcPr>
          <w:p w14:paraId="457C07ED" w14:textId="77777777" w:rsidR="00460C6C" w:rsidRDefault="00460C6C" w:rsidP="008E6471">
            <w:pPr>
              <w:cnfStyle w:val="000000100000" w:firstRow="0" w:lastRow="0" w:firstColumn="0" w:lastColumn="0" w:oddVBand="0" w:evenVBand="0" w:oddHBand="1" w:evenHBand="0" w:firstRowFirstColumn="0" w:firstRowLastColumn="0" w:lastRowFirstColumn="0" w:lastRowLastColumn="0"/>
            </w:pPr>
          </w:p>
        </w:tc>
      </w:tr>
      <w:tr w:rsidR="00460C6C" w14:paraId="3D01F724" w14:textId="77777777" w:rsidTr="006C6FCD">
        <w:tc>
          <w:tcPr>
            <w:cnfStyle w:val="001000000000" w:firstRow="0" w:lastRow="0" w:firstColumn="1" w:lastColumn="0" w:oddVBand="0" w:evenVBand="0" w:oddHBand="0" w:evenHBand="0" w:firstRowFirstColumn="0" w:firstRowLastColumn="0" w:lastRowFirstColumn="0" w:lastRowLastColumn="0"/>
            <w:tcW w:w="3242" w:type="dxa"/>
          </w:tcPr>
          <w:p w14:paraId="7FBBAC46" w14:textId="77777777" w:rsidR="00460C6C" w:rsidRDefault="00460C6C" w:rsidP="00D80CF9">
            <w:r>
              <w:lastRenderedPageBreak/>
              <w:t>Artikel 8 Abs. 5</w:t>
            </w:r>
          </w:p>
        </w:tc>
        <w:tc>
          <w:tcPr>
            <w:tcW w:w="6109" w:type="dxa"/>
          </w:tcPr>
          <w:p w14:paraId="5DCCF07D" w14:textId="77777777" w:rsidR="00460C6C" w:rsidRDefault="00460C6C" w:rsidP="008E6471">
            <w:pPr>
              <w:cnfStyle w:val="000000000000" w:firstRow="0" w:lastRow="0" w:firstColumn="0" w:lastColumn="0" w:oddVBand="0" w:evenVBand="0" w:oddHBand="0" w:evenHBand="0" w:firstRowFirstColumn="0" w:firstRowLastColumn="0" w:lastRowFirstColumn="0" w:lastRowLastColumn="0"/>
            </w:pPr>
            <w:r>
              <w:t>Die Datenlieferung, die Fristen, das Vorgehen und der Zeitpunkt der Auszahlung und Abrechnung sind in der SHV und in der ZAV unterschiedlich geregelt.</w:t>
            </w:r>
          </w:p>
          <w:p w14:paraId="1A32DD61" w14:textId="2D5B0CD3" w:rsidR="00460C6C" w:rsidRDefault="00460C6C" w:rsidP="00460C6C">
            <w:pPr>
              <w:cnfStyle w:val="000000000000" w:firstRow="0" w:lastRow="0" w:firstColumn="0" w:lastColumn="0" w:oddVBand="0" w:evenVBand="0" w:oddHBand="0" w:evenHBand="0" w:firstRowFirstColumn="0" w:firstRowLastColumn="0" w:lastRowFirstColumn="0" w:lastRowLastColumn="0"/>
            </w:pPr>
            <w:r>
              <w:t>Abs. 5: Allfällige Beschwerdeverfahren können lange dauern. Es ist nicht zumutbar, dass die Auszahlung der Fallkostenpauschalen erst erfolgt, wenn die Verfügung rechtskräftig geworden ist. Im Falle von Besc</w:t>
            </w:r>
            <w:r w:rsidR="00811455">
              <w:t xml:space="preserve">hwerdeverfahren sind zumindest </w:t>
            </w:r>
            <w:proofErr w:type="spellStart"/>
            <w:r w:rsidR="00811455">
              <w:t>A</w:t>
            </w:r>
            <w:r w:rsidR="00C07632">
              <w:t>konto</w:t>
            </w:r>
            <w:proofErr w:type="spellEnd"/>
            <w:r w:rsidR="00C07632">
              <w:t xml:space="preserve">-Zahlungen zu leisten. </w:t>
            </w:r>
          </w:p>
        </w:tc>
        <w:tc>
          <w:tcPr>
            <w:tcW w:w="5216" w:type="dxa"/>
          </w:tcPr>
          <w:p w14:paraId="2C639048" w14:textId="77777777" w:rsidR="00460C6C" w:rsidRDefault="00460C6C" w:rsidP="008E6471">
            <w:pPr>
              <w:cnfStyle w:val="000000000000" w:firstRow="0" w:lastRow="0" w:firstColumn="0" w:lastColumn="0" w:oddVBand="0" w:evenVBand="0" w:oddHBand="0" w:evenHBand="0" w:firstRowFirstColumn="0" w:firstRowLastColumn="0" w:lastRowFirstColumn="0" w:lastRowLastColumn="0"/>
            </w:pPr>
            <w:r>
              <w:t xml:space="preserve">Die Abläufe der Datenlieferung und Abrechnung sind in der SHV und in der ZAV zu vereinheitlichen. </w:t>
            </w:r>
          </w:p>
          <w:p w14:paraId="02A2DCEC" w14:textId="77777777" w:rsidR="00460C6C" w:rsidRDefault="00460C6C" w:rsidP="008E6471">
            <w:pPr>
              <w:cnfStyle w:val="000000000000" w:firstRow="0" w:lastRow="0" w:firstColumn="0" w:lastColumn="0" w:oddVBand="0" w:evenVBand="0" w:oddHBand="0" w:evenHBand="0" w:firstRowFirstColumn="0" w:firstRowLastColumn="0" w:lastRowFirstColumn="0" w:lastRowLastColumn="0"/>
            </w:pPr>
            <w:r>
              <w:t>Abs. 5 ist wie folgt zu ändern: Die Auszahlung erfolgt, nach Versand der Verfügung an die Gemeinden gemäss Absatz 3.</w:t>
            </w:r>
          </w:p>
        </w:tc>
      </w:tr>
      <w:tr w:rsidR="00E7158D" w14:paraId="33219954" w14:textId="77777777" w:rsidTr="006C6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2" w:type="dxa"/>
          </w:tcPr>
          <w:p w14:paraId="0F72FCC5" w14:textId="77777777" w:rsidR="00E7158D" w:rsidRDefault="00E7158D" w:rsidP="00D80CF9">
            <w:r>
              <w:t xml:space="preserve">Artikel </w:t>
            </w:r>
            <w:r w:rsidR="00D80CF9">
              <w:t>9 Abs. 1</w:t>
            </w:r>
          </w:p>
        </w:tc>
        <w:tc>
          <w:tcPr>
            <w:tcW w:w="6109" w:type="dxa"/>
          </w:tcPr>
          <w:p w14:paraId="4957D022" w14:textId="77777777" w:rsidR="00E7158D" w:rsidRDefault="00C75671" w:rsidP="008E6471">
            <w:pPr>
              <w:cnfStyle w:val="000000100000" w:firstRow="0" w:lastRow="0" w:firstColumn="0" w:lastColumn="0" w:oddVBand="0" w:evenVBand="0" w:oddHBand="1" w:evenHBand="0" w:firstRowFirstColumn="0" w:firstRowLastColumn="0" w:lastRowFirstColumn="0" w:lastRowLastColumn="0"/>
            </w:pPr>
            <w:r>
              <w:t>Die Datenlieferung, die Fristen, das Vorgehen und der Zeitpunkt der Auszahlung und Abrechnung sind in der SHV und in der ZAV unterschiedlich geregelt.</w:t>
            </w:r>
          </w:p>
        </w:tc>
        <w:tc>
          <w:tcPr>
            <w:tcW w:w="5216" w:type="dxa"/>
          </w:tcPr>
          <w:p w14:paraId="48D87587" w14:textId="77777777" w:rsidR="00E7158D" w:rsidRDefault="00C75671" w:rsidP="008E6471">
            <w:pPr>
              <w:cnfStyle w:val="000000100000" w:firstRow="0" w:lastRow="0" w:firstColumn="0" w:lastColumn="0" w:oddVBand="0" w:evenVBand="0" w:oddHBand="1" w:evenHBand="0" w:firstRowFirstColumn="0" w:firstRowLastColumn="0" w:lastRowFirstColumn="0" w:lastRowLastColumn="0"/>
            </w:pPr>
            <w:r>
              <w:t xml:space="preserve">Die Abläufe der Datenlieferung und Abrechnung sind in der SHV und in der ZAV zu vereinheitlichen. </w:t>
            </w:r>
          </w:p>
        </w:tc>
      </w:tr>
      <w:tr w:rsidR="00E7158D" w14:paraId="70344D2D" w14:textId="77777777" w:rsidTr="006C6FCD">
        <w:tc>
          <w:tcPr>
            <w:cnfStyle w:val="001000000000" w:firstRow="0" w:lastRow="0" w:firstColumn="1" w:lastColumn="0" w:oddVBand="0" w:evenVBand="0" w:oddHBand="0" w:evenHBand="0" w:firstRowFirstColumn="0" w:firstRowLastColumn="0" w:lastRowFirstColumn="0" w:lastRowLastColumn="0"/>
            <w:tcW w:w="3242" w:type="dxa"/>
          </w:tcPr>
          <w:p w14:paraId="2B040AD3" w14:textId="77777777" w:rsidR="00E7158D" w:rsidRDefault="00E7158D" w:rsidP="00D80CF9">
            <w:r>
              <w:t xml:space="preserve">Artikel </w:t>
            </w:r>
            <w:r w:rsidR="00D80CF9">
              <w:t>9 Abs. 2</w:t>
            </w:r>
          </w:p>
        </w:tc>
        <w:tc>
          <w:tcPr>
            <w:tcW w:w="6109" w:type="dxa"/>
          </w:tcPr>
          <w:p w14:paraId="55201C4A" w14:textId="77777777" w:rsidR="00E7158D" w:rsidRDefault="00E0621F" w:rsidP="00E0621F">
            <w:pPr>
              <w:cnfStyle w:val="000000000000" w:firstRow="0" w:lastRow="0" w:firstColumn="0" w:lastColumn="0" w:oddVBand="0" w:evenVBand="0" w:oddHBand="0" w:evenHBand="0" w:firstRowFirstColumn="0" w:firstRowLastColumn="0" w:lastRowFirstColumn="0" w:lastRowLastColumn="0"/>
            </w:pPr>
            <w:r>
              <w:t>Keine Bemerkungen</w:t>
            </w:r>
          </w:p>
        </w:tc>
        <w:tc>
          <w:tcPr>
            <w:tcW w:w="5216" w:type="dxa"/>
          </w:tcPr>
          <w:p w14:paraId="4BEA2257" w14:textId="77777777" w:rsidR="00E7158D" w:rsidRDefault="00E7158D" w:rsidP="008E6471">
            <w:pPr>
              <w:cnfStyle w:val="000000000000" w:firstRow="0" w:lastRow="0" w:firstColumn="0" w:lastColumn="0" w:oddVBand="0" w:evenVBand="0" w:oddHBand="0" w:evenHBand="0" w:firstRowFirstColumn="0" w:firstRowLastColumn="0" w:lastRowFirstColumn="0" w:lastRowLastColumn="0"/>
            </w:pPr>
          </w:p>
        </w:tc>
      </w:tr>
      <w:tr w:rsidR="00E7158D" w14:paraId="46E40242" w14:textId="77777777" w:rsidTr="006C6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2" w:type="dxa"/>
          </w:tcPr>
          <w:p w14:paraId="2181B4EE" w14:textId="77777777" w:rsidR="00E7158D" w:rsidRDefault="00E7158D" w:rsidP="00D80CF9">
            <w:r>
              <w:t xml:space="preserve">Artikel </w:t>
            </w:r>
            <w:r w:rsidR="00D80CF9">
              <w:t>9 Abs. 3</w:t>
            </w:r>
          </w:p>
        </w:tc>
        <w:tc>
          <w:tcPr>
            <w:tcW w:w="6109" w:type="dxa"/>
          </w:tcPr>
          <w:p w14:paraId="0806D26D" w14:textId="77777777" w:rsidR="00E7158D" w:rsidRDefault="00C75671" w:rsidP="008E6471">
            <w:pPr>
              <w:cnfStyle w:val="000000100000" w:firstRow="0" w:lastRow="0" w:firstColumn="0" w:lastColumn="0" w:oddVBand="0" w:evenVBand="0" w:oddHBand="1" w:evenHBand="0" w:firstRowFirstColumn="0" w:firstRowLastColumn="0" w:lastRowFirstColumn="0" w:lastRowLastColumn="0"/>
            </w:pPr>
            <w:r>
              <w:t>Die Datenlieferung, die Fristen, das Vorgehen und der Zeitpunkt der Auszahlung und Abrechnung sind in der SHV und in der ZAV unterschiedlich geregelt.</w:t>
            </w:r>
          </w:p>
        </w:tc>
        <w:tc>
          <w:tcPr>
            <w:tcW w:w="5216" w:type="dxa"/>
          </w:tcPr>
          <w:p w14:paraId="08C34969" w14:textId="77777777" w:rsidR="00E7158D" w:rsidRDefault="00C75671" w:rsidP="008E6471">
            <w:pPr>
              <w:cnfStyle w:val="000000100000" w:firstRow="0" w:lastRow="0" w:firstColumn="0" w:lastColumn="0" w:oddVBand="0" w:evenVBand="0" w:oddHBand="1" w:evenHBand="0" w:firstRowFirstColumn="0" w:firstRowLastColumn="0" w:lastRowFirstColumn="0" w:lastRowLastColumn="0"/>
            </w:pPr>
            <w:r>
              <w:t xml:space="preserve">Die Abläufe der Datenlieferung und Abrechnung sind in der SHV und in der ZAV zu vereinheitlichen. </w:t>
            </w:r>
          </w:p>
        </w:tc>
      </w:tr>
      <w:tr w:rsidR="00B419E6" w14:paraId="39941AAA" w14:textId="77777777" w:rsidTr="006C6FCD">
        <w:tc>
          <w:tcPr>
            <w:cnfStyle w:val="001000000000" w:firstRow="0" w:lastRow="0" w:firstColumn="1" w:lastColumn="0" w:oddVBand="0" w:evenVBand="0" w:oddHBand="0" w:evenHBand="0" w:firstRowFirstColumn="0" w:firstRowLastColumn="0" w:lastRowFirstColumn="0" w:lastRowLastColumn="0"/>
            <w:tcW w:w="3242" w:type="dxa"/>
          </w:tcPr>
          <w:p w14:paraId="343771E6" w14:textId="77777777" w:rsidR="00B419E6" w:rsidRDefault="00B419E6" w:rsidP="00B419E6">
            <w:r w:rsidRPr="00C14377">
              <w:rPr>
                <w:highlight w:val="yellow"/>
              </w:rPr>
              <w:t>Art. 10 Ab. 2</w:t>
            </w:r>
          </w:p>
        </w:tc>
        <w:tc>
          <w:tcPr>
            <w:tcW w:w="6109" w:type="dxa"/>
          </w:tcPr>
          <w:p w14:paraId="795F266E" w14:textId="77777777" w:rsidR="00B419E6" w:rsidRDefault="00B419E6" w:rsidP="00B419E6">
            <w:pPr>
              <w:cnfStyle w:val="000000000000" w:firstRow="0" w:lastRow="0" w:firstColumn="0" w:lastColumn="0" w:oddVBand="0" w:evenVBand="0" w:oddHBand="0" w:evenHBand="0" w:firstRowFirstColumn="0" w:firstRowLastColumn="0" w:lastRowFirstColumn="0" w:lastRowLastColumn="0"/>
            </w:pPr>
            <w:r>
              <w:t xml:space="preserve">Bisher wurden als Richtgrössen für eine angemessene Fallbelastung 80 - 100 Fälle pro 100 Stellenprozent Fachpersonal und 160 - 200 Fälle pro 100 Stellenprozent </w:t>
            </w:r>
            <w:r w:rsidR="00C07632">
              <w:t>Administrativpersonal festgelegt</w:t>
            </w:r>
            <w:r>
              <w:t>. Neu werden die Fallpauschalen auf Basis einer</w:t>
            </w:r>
            <w:r w:rsidRPr="000330AE">
              <w:t xml:space="preserve"> Fallbelastung von 100 Fällen auf 100 Stellenprozent </w:t>
            </w:r>
            <w:r>
              <w:t xml:space="preserve">Fachpersonal </w:t>
            </w:r>
            <w:r w:rsidRPr="000330AE">
              <w:t>berechnet</w:t>
            </w:r>
            <w:r>
              <w:t>. Dies ist zu hoch um eine qualitativ gute Sozialarbeit zu gewährleisten und den Ansprüchen des neuen KESG zu genügen.</w:t>
            </w:r>
          </w:p>
          <w:p w14:paraId="4E1948D0" w14:textId="1D35E6B1" w:rsidR="00687B21" w:rsidRDefault="00687B21" w:rsidP="00B419E6">
            <w:pPr>
              <w:cnfStyle w:val="000000000000" w:firstRow="0" w:lastRow="0" w:firstColumn="0" w:lastColumn="0" w:oddVBand="0" w:evenVBand="0" w:oddHBand="0" w:evenHBand="0" w:firstRowFirstColumn="0" w:firstRowLastColumn="0" w:lastRowFirstColumn="0" w:lastRowLastColumn="0"/>
            </w:pPr>
            <w:r>
              <w:t>Wir verweisen diesbezüglich auf Art. 400 ZGB, wo die Zeit, die den Mandatstragenden zur Verfügung stehen muss, ausdrücklich erwähnt wird.</w:t>
            </w:r>
          </w:p>
        </w:tc>
        <w:tc>
          <w:tcPr>
            <w:tcW w:w="5216" w:type="dxa"/>
          </w:tcPr>
          <w:p w14:paraId="3B0B3F9C" w14:textId="77777777" w:rsidR="00B419E6" w:rsidRDefault="00B419E6" w:rsidP="00B419E6">
            <w:pPr>
              <w:cnfStyle w:val="000000000000" w:firstRow="0" w:lastRow="0" w:firstColumn="0" w:lastColumn="0" w:oddVBand="0" w:evenVBand="0" w:oddHBand="0" w:evenHBand="0" w:firstRowFirstColumn="0" w:firstRowLastColumn="0" w:lastRowFirstColumn="0" w:lastRowLastColumn="0"/>
            </w:pPr>
            <w:r>
              <w:t xml:space="preserve">Nicht streichen bzw. Reduktion der durchschnittlichen Fallbelastung im Kindes- und Erwachsenenschutzbereich auf maximal 80 Fällen pro 100 Stellenprozent Fachpersonal. </w:t>
            </w:r>
          </w:p>
        </w:tc>
      </w:tr>
      <w:tr w:rsidR="000249E3" w14:paraId="78203AA0" w14:textId="77777777" w:rsidTr="006C6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2" w:type="dxa"/>
          </w:tcPr>
          <w:p w14:paraId="01CFC12E" w14:textId="77777777" w:rsidR="000249E3" w:rsidRDefault="000249E3" w:rsidP="00D80CF9">
            <w:r>
              <w:lastRenderedPageBreak/>
              <w:t>Artikel 13 Abs. 1</w:t>
            </w:r>
          </w:p>
        </w:tc>
        <w:tc>
          <w:tcPr>
            <w:tcW w:w="6109" w:type="dxa"/>
          </w:tcPr>
          <w:p w14:paraId="1A32B7E3" w14:textId="77777777" w:rsidR="000249E3" w:rsidRDefault="00E0621F" w:rsidP="00E0621F">
            <w:pPr>
              <w:cnfStyle w:val="000000100000" w:firstRow="0" w:lastRow="0" w:firstColumn="0" w:lastColumn="0" w:oddVBand="0" w:evenVBand="0" w:oddHBand="1" w:evenHBand="0" w:firstRowFirstColumn="0" w:firstRowLastColumn="0" w:lastRowFirstColumn="0" w:lastRowLastColumn="0"/>
            </w:pPr>
            <w:r>
              <w:t>Gemäss der Vorlage zur Revision SHV ist vorgesehen, dass die Sozialdienste bei der Personalrekrutierung mehr Handlungsspielraum erhalten. Dies ist v.a. für grössere Sozialdienste begrüssenswert. Trotzdem muss verhindert werden</w:t>
            </w:r>
            <w:r w:rsidR="000249E3">
              <w:t xml:space="preserve">, dass der Anteil Fachpersonal auf ein ungenügendes Niveau reduziert wird. </w:t>
            </w:r>
          </w:p>
        </w:tc>
        <w:tc>
          <w:tcPr>
            <w:tcW w:w="5216" w:type="dxa"/>
          </w:tcPr>
          <w:p w14:paraId="26C53F75" w14:textId="77777777" w:rsidR="000249E3" w:rsidRDefault="00E0621F" w:rsidP="00E0621F">
            <w:pPr>
              <w:cnfStyle w:val="000000100000" w:firstRow="0" w:lastRow="0" w:firstColumn="0" w:lastColumn="0" w:oddVBand="0" w:evenVBand="0" w:oddHBand="1" w:evenHBand="0" w:firstRowFirstColumn="0" w:firstRowLastColumn="0" w:lastRowFirstColumn="0" w:lastRowLastColumn="0"/>
            </w:pPr>
            <w:r>
              <w:t xml:space="preserve">Es sind </w:t>
            </w:r>
            <w:r w:rsidR="000249E3">
              <w:t>Vorgabe</w:t>
            </w:r>
            <w:r>
              <w:t xml:space="preserve">n zum Verhältnis zwischen dem </w:t>
            </w:r>
            <w:r w:rsidR="000249E3">
              <w:t xml:space="preserve">Anteil Fachpersonal </w:t>
            </w:r>
            <w:r>
              <w:t>und Anteil Administrativpersonal zu machen (und d</w:t>
            </w:r>
            <w:r w:rsidR="000249E3">
              <w:t xml:space="preserve">er Kanton </w:t>
            </w:r>
            <w:r>
              <w:t>soll</w:t>
            </w:r>
            <w:r w:rsidR="000249E3">
              <w:t xml:space="preserve"> Ausnahmen bewilli</w:t>
            </w:r>
            <w:r>
              <w:t>gen können</w:t>
            </w:r>
            <w:r w:rsidR="000249E3">
              <w:t>)</w:t>
            </w:r>
            <w:r>
              <w:t>.</w:t>
            </w:r>
          </w:p>
        </w:tc>
      </w:tr>
      <w:tr w:rsidR="00D80CF9" w14:paraId="00016FAC" w14:textId="77777777" w:rsidTr="006C6FCD">
        <w:tc>
          <w:tcPr>
            <w:cnfStyle w:val="001000000000" w:firstRow="0" w:lastRow="0" w:firstColumn="1" w:lastColumn="0" w:oddVBand="0" w:evenVBand="0" w:oddHBand="0" w:evenHBand="0" w:firstRowFirstColumn="0" w:firstRowLastColumn="0" w:lastRowFirstColumn="0" w:lastRowLastColumn="0"/>
            <w:tcW w:w="3242" w:type="dxa"/>
          </w:tcPr>
          <w:p w14:paraId="07760523" w14:textId="77777777" w:rsidR="00D80CF9" w:rsidRDefault="00D80CF9" w:rsidP="00D80CF9">
            <w:r>
              <w:t>Artikel 13 Abs. 2</w:t>
            </w:r>
          </w:p>
        </w:tc>
        <w:tc>
          <w:tcPr>
            <w:tcW w:w="6109" w:type="dxa"/>
          </w:tcPr>
          <w:p w14:paraId="55AFD0AD" w14:textId="77777777" w:rsidR="00D80CF9" w:rsidRDefault="00A37D22" w:rsidP="00A37D22">
            <w:pPr>
              <w:cnfStyle w:val="000000000000" w:firstRow="0" w:lastRow="0" w:firstColumn="0" w:lastColumn="0" w:oddVBand="0" w:evenVBand="0" w:oddHBand="0" w:evenHBand="0" w:firstRowFirstColumn="0" w:firstRowLastColumn="0" w:lastRowFirstColumn="0" w:lastRowLastColumn="0"/>
            </w:pPr>
            <w:r>
              <w:t xml:space="preserve">Hier wird Bezug genommen auf SHV-Artikel, die voraussichtlich revidiert werden. </w:t>
            </w:r>
          </w:p>
        </w:tc>
        <w:tc>
          <w:tcPr>
            <w:tcW w:w="5216" w:type="dxa"/>
          </w:tcPr>
          <w:p w14:paraId="54E56931" w14:textId="77777777" w:rsidR="00D80CF9" w:rsidRDefault="00A37D22" w:rsidP="008E6471">
            <w:pPr>
              <w:cnfStyle w:val="000000000000" w:firstRow="0" w:lastRow="0" w:firstColumn="0" w:lastColumn="0" w:oddVBand="0" w:evenVBand="0" w:oddHBand="0" w:evenHBand="0" w:firstRowFirstColumn="0" w:firstRowLastColumn="0" w:lastRowFirstColumn="0" w:lastRowLastColumn="0"/>
            </w:pPr>
            <w:r>
              <w:t>Koordination der gegenseitigen Verweise in der SHV und in der ZAV.</w:t>
            </w:r>
          </w:p>
        </w:tc>
      </w:tr>
      <w:tr w:rsidR="00D80CF9" w14:paraId="59B4CBE8" w14:textId="77777777" w:rsidTr="006C6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2" w:type="dxa"/>
          </w:tcPr>
          <w:p w14:paraId="5225B80E" w14:textId="77777777" w:rsidR="00D80CF9" w:rsidRDefault="00D80CF9" w:rsidP="00D80CF9">
            <w:r>
              <w:t>Artikel 13 Abs. 3</w:t>
            </w:r>
          </w:p>
        </w:tc>
        <w:tc>
          <w:tcPr>
            <w:tcW w:w="6109" w:type="dxa"/>
          </w:tcPr>
          <w:p w14:paraId="0C12CF20" w14:textId="77777777" w:rsidR="00D80CF9" w:rsidRDefault="008E6471" w:rsidP="008E6471">
            <w:pPr>
              <w:cnfStyle w:val="000000100000" w:firstRow="0" w:lastRow="0" w:firstColumn="0" w:lastColumn="0" w:oddVBand="0" w:evenVBand="0" w:oddHBand="1" w:evenHBand="0" w:firstRowFirstColumn="0" w:firstRowLastColumn="0" w:lastRowFirstColumn="0" w:lastRowLastColumn="0"/>
            </w:pPr>
            <w:r>
              <w:t>In der SHV-Revision ist vorgesehen, dass die Sozialdienste keine Personalregister mehr führen und einreichen müssen. Diese Vorgabe ist auch in der ZAV zu streichen.</w:t>
            </w:r>
          </w:p>
        </w:tc>
        <w:tc>
          <w:tcPr>
            <w:tcW w:w="5216" w:type="dxa"/>
          </w:tcPr>
          <w:p w14:paraId="48A0BE64" w14:textId="77777777" w:rsidR="00D80CF9" w:rsidRDefault="008E6471" w:rsidP="008E6471">
            <w:pPr>
              <w:cnfStyle w:val="000000100000" w:firstRow="0" w:lastRow="0" w:firstColumn="0" w:lastColumn="0" w:oddVBand="0" w:evenVBand="0" w:oddHBand="1" w:evenHBand="0" w:firstRowFirstColumn="0" w:firstRowLastColumn="0" w:lastRowFirstColumn="0" w:lastRowLastColumn="0"/>
            </w:pPr>
            <w:r>
              <w:t xml:space="preserve">Streichung </w:t>
            </w:r>
          </w:p>
        </w:tc>
      </w:tr>
      <w:tr w:rsidR="00D80CF9" w14:paraId="261ACBCF" w14:textId="77777777" w:rsidTr="006C6FCD">
        <w:tc>
          <w:tcPr>
            <w:cnfStyle w:val="001000000000" w:firstRow="0" w:lastRow="0" w:firstColumn="1" w:lastColumn="0" w:oddVBand="0" w:evenVBand="0" w:oddHBand="0" w:evenHBand="0" w:firstRowFirstColumn="0" w:firstRowLastColumn="0" w:lastRowFirstColumn="0" w:lastRowLastColumn="0"/>
            <w:tcW w:w="3242" w:type="dxa"/>
          </w:tcPr>
          <w:p w14:paraId="07FF6B5C" w14:textId="77777777" w:rsidR="00D80CF9" w:rsidRPr="00D80CF9" w:rsidRDefault="00D80CF9" w:rsidP="00D80CF9">
            <w:r>
              <w:t>Artikel 18</w:t>
            </w:r>
            <w:r w:rsidRPr="00D80CF9">
              <w:rPr>
                <w:vertAlign w:val="superscript"/>
              </w:rPr>
              <w:t>bis</w:t>
            </w:r>
            <w:r>
              <w:rPr>
                <w:vertAlign w:val="superscript"/>
              </w:rPr>
              <w:t xml:space="preserve"> </w:t>
            </w:r>
          </w:p>
        </w:tc>
        <w:tc>
          <w:tcPr>
            <w:tcW w:w="6109" w:type="dxa"/>
          </w:tcPr>
          <w:p w14:paraId="6CC6675C" w14:textId="77777777" w:rsidR="00D80CF9" w:rsidRDefault="008E6471" w:rsidP="008E6471">
            <w:pPr>
              <w:cnfStyle w:val="000000000000" w:firstRow="0" w:lastRow="0" w:firstColumn="0" w:lastColumn="0" w:oddVBand="0" w:evenVBand="0" w:oddHBand="0" w:evenHBand="0" w:firstRowFirstColumn="0" w:firstRowLastColumn="0" w:lastRowFirstColumn="0" w:lastRowLastColumn="0"/>
            </w:pPr>
            <w:r>
              <w:t xml:space="preserve">Die Übergangsbestimmungen sind in den Bereichen wirtschaftliche Hilfe und Kindes- und Erwachsenenschutz unterschiedlich. </w:t>
            </w:r>
          </w:p>
        </w:tc>
        <w:tc>
          <w:tcPr>
            <w:tcW w:w="5216" w:type="dxa"/>
          </w:tcPr>
          <w:p w14:paraId="12782471" w14:textId="77777777" w:rsidR="00D80CF9" w:rsidRDefault="00AC60B5" w:rsidP="00811455">
            <w:pPr>
              <w:cnfStyle w:val="000000000000" w:firstRow="0" w:lastRow="0" w:firstColumn="0" w:lastColumn="0" w:oddVBand="0" w:evenVBand="0" w:oddHBand="0" w:evenHBand="0" w:firstRowFirstColumn="0" w:firstRowLastColumn="0" w:lastRowFirstColumn="0" w:lastRowLastColumn="0"/>
            </w:pPr>
            <w:r>
              <w:t>Die Übergangsbestimmungen sind in der SHV und ZAV zu vereinheitlichen</w:t>
            </w:r>
            <w:r w:rsidR="00811455">
              <w:t xml:space="preserve"> und die</w:t>
            </w:r>
            <w:r>
              <w:t xml:space="preserve"> </w:t>
            </w:r>
            <w:r w:rsidR="008E6471">
              <w:t>Kann-Formulierung</w:t>
            </w:r>
            <w:r w:rsidR="00811455">
              <w:t xml:space="preserve"> zu</w:t>
            </w:r>
            <w:r w:rsidR="008E6471">
              <w:t xml:space="preserve"> löschen</w:t>
            </w:r>
          </w:p>
        </w:tc>
      </w:tr>
    </w:tbl>
    <w:p w14:paraId="6D0985FC" w14:textId="77777777" w:rsidR="00E7158D" w:rsidRPr="002D5786" w:rsidRDefault="00E7158D" w:rsidP="00E7158D">
      <w:pPr>
        <w:pStyle w:val="Enclosures"/>
        <w:rPr>
          <w:lang w:val="de-CH"/>
        </w:rPr>
      </w:pPr>
      <w:r w:rsidRPr="002D5786">
        <w:rPr>
          <w:lang w:val="de-CH"/>
        </w:rPr>
        <w:fldChar w:fldCharType="begin"/>
      </w:r>
      <w:r w:rsidRPr="002D5786">
        <w:rPr>
          <w:lang w:val="de-CH"/>
        </w:rPr>
        <w:instrText xml:space="preserve"> IF </w:instrText>
      </w:r>
      <w:r w:rsidRPr="002D5786">
        <w:rPr>
          <w:lang w:val="de-CH"/>
        </w:rPr>
        <w:fldChar w:fldCharType="begin"/>
      </w:r>
      <w:r w:rsidRPr="002D5786">
        <w:rPr>
          <w:lang w:val="de-CH"/>
        </w:rPr>
        <w:instrText xml:space="preserve"> DOCPROPERTY  CustomField.CopieTo  \* MERGEFORMAT </w:instrText>
      </w:r>
      <w:r w:rsidRPr="002D5786">
        <w:rPr>
          <w:lang w:val="de-CH"/>
        </w:rPr>
        <w:fldChar w:fldCharType="end"/>
      </w:r>
      <w:r w:rsidRPr="002D5786">
        <w:rPr>
          <w:lang w:val="de-CH"/>
        </w:rPr>
        <w:instrText>="" "" "</w:instrText>
      </w:r>
      <w:r w:rsidRPr="002D5786">
        <w:rPr>
          <w:lang w:val="de-CH"/>
        </w:rPr>
        <w:fldChar w:fldCharType="begin"/>
      </w:r>
      <w:r w:rsidRPr="002D5786">
        <w:rPr>
          <w:lang w:val="de-CH"/>
        </w:rPr>
        <w:instrText xml:space="preserve"> DOCPROPERTY  Doc.CopieTo  \* MERGEFORMAT </w:instrText>
      </w:r>
      <w:r w:rsidRPr="002D5786">
        <w:rPr>
          <w:lang w:val="de-CH"/>
        </w:rPr>
        <w:fldChar w:fldCharType="separate"/>
      </w:r>
      <w:r w:rsidRPr="002D5786">
        <w:rPr>
          <w:lang w:val="de-CH"/>
        </w:rPr>
        <w:instrText>Doc.CopieTo</w:instrText>
      </w:r>
      <w:r w:rsidRPr="002D5786">
        <w:rPr>
          <w:lang w:val="de-CH"/>
        </w:rPr>
        <w:fldChar w:fldCharType="end"/>
      </w:r>
    </w:p>
    <w:p w14:paraId="216600D2" w14:textId="77777777" w:rsidR="00E7158D" w:rsidRPr="002D5786" w:rsidRDefault="00CF3772" w:rsidP="00E7158D">
      <w:pPr>
        <w:pStyle w:val="Aufzhlung"/>
        <w:keepNext/>
        <w:keepLines/>
        <w:numPr>
          <w:ilvl w:val="0"/>
          <w:numId w:val="24"/>
        </w:numPr>
        <w:spacing w:after="0" w:line="240" w:lineRule="atLeast"/>
        <w:contextualSpacing w:val="0"/>
      </w:pPr>
      <w:r>
        <w:fldChar w:fldCharType="begin"/>
      </w:r>
      <w:r>
        <w:instrText xml:space="preserve"> DOCPROPERTY  CustomField.CopieTo  \* MERGEFORMAT </w:instrText>
      </w:r>
      <w:r>
        <w:fldChar w:fldCharType="separate"/>
      </w:r>
      <w:r w:rsidR="00E7158D" w:rsidRPr="002D5786">
        <w:instrText>CustomField.CopieTo</w:instrText>
      </w:r>
      <w:r>
        <w:fldChar w:fldCharType="end"/>
      </w:r>
      <w:r w:rsidR="00E7158D" w:rsidRPr="002D5786">
        <w:instrText>"\* MERGEFORMAT \&lt;OawJumpToField value=0/&gt;</w:instrText>
      </w:r>
      <w:r w:rsidR="00E7158D" w:rsidRPr="002D5786">
        <w:fldChar w:fldCharType="end"/>
      </w:r>
    </w:p>
    <w:p w14:paraId="613A3DE5" w14:textId="77777777" w:rsidR="00E7158D" w:rsidRPr="002D5786" w:rsidRDefault="00E7158D" w:rsidP="00E7158D">
      <w:pPr>
        <w:spacing w:after="0" w:line="240" w:lineRule="auto"/>
      </w:pPr>
    </w:p>
    <w:p w14:paraId="12657095" w14:textId="77777777" w:rsidR="00C36A67" w:rsidRPr="00700867" w:rsidRDefault="00C75671" w:rsidP="00CC2326">
      <w:pPr>
        <w:rPr>
          <w:b/>
        </w:rPr>
      </w:pPr>
      <w:r w:rsidRPr="00700867">
        <w:rPr>
          <w:b/>
        </w:rPr>
        <w:t>Weiterführende Vorschläge:</w:t>
      </w:r>
    </w:p>
    <w:p w14:paraId="589CB74E" w14:textId="77777777" w:rsidR="00C75671" w:rsidRDefault="008E6471" w:rsidP="00C75671">
      <w:pPr>
        <w:spacing w:after="60"/>
      </w:pPr>
      <w:r>
        <w:t xml:space="preserve">Wie oben ausgeführt, scheinen </w:t>
      </w:r>
      <w:r w:rsidR="00700867">
        <w:t>unter anderem</w:t>
      </w:r>
      <w:r>
        <w:t xml:space="preserve"> </w:t>
      </w:r>
      <w:r w:rsidR="00B8718F">
        <w:t xml:space="preserve">auch </w:t>
      </w:r>
      <w:r>
        <w:t xml:space="preserve">finanzpolitische Überlegungen zur Revision der ZAV geführt zu haben. </w:t>
      </w:r>
      <w:r w:rsidR="00B8718F">
        <w:t xml:space="preserve">Diesen verschliessen wir uns nicht. Wir erkennen in zwei Bereichen Sparpotential und regen an, diese in die ganzheitliche Betrachtung aufzunehmen. </w:t>
      </w:r>
      <w:r w:rsidR="00C75671" w:rsidRPr="00C75671">
        <w:t>Als erstes seien hier die Behördenstrukturen zu erwähnen. Wir haben den Eindruck, dass die dort angewendeten Lohnbänder in vielen Funktionen in einem Missverhältnis zu den in den Sozialdiensten vorgesehenen Besoldungsmöglichkeiten liegen. Dies war schon auffallend im Jahr 2012, als die Behörden die Erstanstellungen ihrer Mitarbeitenden vornahmen und die Sozialdienste bei anfallenden Rekrutierungen das Nachsehen hatten, weil diese mit den Lohnangeboten der KESB schlichtweg nicht mithalten konn</w:t>
      </w:r>
      <w:r w:rsidR="00B8718F">
        <w:t>ten. Als zweite</w:t>
      </w:r>
      <w:r w:rsidR="00C75671" w:rsidRPr="00C75671">
        <w:t xml:space="preserve"> Möglichkeit bezüglich Optimierung der Aufwendungen sehen wir im Bereich </w:t>
      </w:r>
      <w:proofErr w:type="spellStart"/>
      <w:r w:rsidR="00C75671" w:rsidRPr="00C75671">
        <w:t>Massnahmekosten</w:t>
      </w:r>
      <w:proofErr w:type="spellEnd"/>
      <w:r w:rsidR="00C75671" w:rsidRPr="00C75671">
        <w:t>. Hierbei muss der Kanton zukünftig seine Kontrollfunktion umfänglich wahrnehmen und mit einer entsprechenden Tarifgestaltung darauf hinwirken, dass die Institutionen ihre Preispolitik gemäss der erbrachten Leistung gestalten. Mit diesen beiden Massnahmen denken wir, dass mit einer minimalen Umverteilung (ca. CHF 5 - 7 Mio.) der im KES Bereich anfallenden Kosten, die Sozialdienste ihrem Aufwand entsprechend entschädigt werden können.</w:t>
      </w:r>
    </w:p>
    <w:p w14:paraId="03CE25D7" w14:textId="77777777" w:rsidR="00935263" w:rsidRDefault="00935263" w:rsidP="00CC2326"/>
    <w:p w14:paraId="37DFC860" w14:textId="4DB2A23F" w:rsidR="00687B21" w:rsidRDefault="00687B21" w:rsidP="00CC2326">
      <w:r>
        <w:t>Besten Dank für Ihre Kenntnisnahme und freundliche Grüsse</w:t>
      </w:r>
    </w:p>
    <w:p w14:paraId="00CE341E" w14:textId="18EF6C9E" w:rsidR="00687B21" w:rsidRDefault="00687B21" w:rsidP="00687B21">
      <w:pPr>
        <w:spacing w:after="0"/>
      </w:pPr>
      <w:r>
        <w:lastRenderedPageBreak/>
        <w:t xml:space="preserve">Berner Konferenz für Sozialhilfe, </w:t>
      </w:r>
    </w:p>
    <w:p w14:paraId="1F16EDEF" w14:textId="01B2237E" w:rsidR="00687B21" w:rsidRPr="00A7333A" w:rsidRDefault="00687B21" w:rsidP="00687B21">
      <w:pPr>
        <w:spacing w:after="0"/>
      </w:pPr>
      <w:r>
        <w:t>Kindes- und Erwachsenenschutz BKSE</w:t>
      </w:r>
    </w:p>
    <w:p w14:paraId="66F97D02" w14:textId="77777777" w:rsidR="006E7457" w:rsidRPr="00A7333A" w:rsidRDefault="006E7457" w:rsidP="00CC2326"/>
    <w:p w14:paraId="0C3DA8D2" w14:textId="77777777" w:rsidR="00147597" w:rsidRPr="00A91AC5" w:rsidRDefault="00147597" w:rsidP="00147597">
      <w:pPr>
        <w:spacing w:after="60"/>
      </w:pPr>
    </w:p>
    <w:sectPr w:rsidR="00147597" w:rsidRPr="00A91AC5" w:rsidSect="00E7158D">
      <w:footerReference w:type="default" r:id="rId10"/>
      <w:headerReference w:type="first" r:id="rId11"/>
      <w:type w:val="continuous"/>
      <w:pgSz w:w="16838" w:h="11906" w:orient="landscape" w:code="9"/>
      <w:pgMar w:top="1588" w:right="1418" w:bottom="851" w:left="851" w:header="34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09B32" w14:textId="77777777" w:rsidR="00CF3772" w:rsidRDefault="00CF3772" w:rsidP="00E61129">
      <w:pPr>
        <w:spacing w:after="0"/>
      </w:pPr>
      <w:r>
        <w:separator/>
      </w:r>
    </w:p>
  </w:endnote>
  <w:endnote w:type="continuationSeparator" w:id="0">
    <w:p w14:paraId="3CFBB9E9" w14:textId="77777777" w:rsidR="00CF3772" w:rsidRDefault="00CF3772" w:rsidP="00E611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89D6" w14:textId="77777777" w:rsidR="008E6471" w:rsidRPr="004F2568" w:rsidRDefault="008E6471" w:rsidP="00C36A67">
    <w:pPr>
      <w:pStyle w:val="Fuzeile"/>
      <w:tabs>
        <w:tab w:val="clear" w:pos="4536"/>
        <w:tab w:val="clear" w:pos="9072"/>
      </w:tabs>
    </w:pPr>
    <w:r w:rsidRPr="004F2568">
      <w:ptab w:relativeTo="margin" w:alignment="right" w:leader="none"/>
    </w:r>
    <w:r w:rsidRPr="004F2568">
      <w:rPr>
        <w:lang w:val="de-DE"/>
      </w:rPr>
      <w:t xml:space="preserve">Seite </w:t>
    </w:r>
    <w:r w:rsidRPr="004F2568">
      <w:fldChar w:fldCharType="begin"/>
    </w:r>
    <w:r w:rsidRPr="004F2568">
      <w:instrText>PAGE  \* Arabic  \* MERGEFORMAT</w:instrText>
    </w:r>
    <w:r w:rsidRPr="004F2568">
      <w:fldChar w:fldCharType="separate"/>
    </w:r>
    <w:r w:rsidR="00FD5818" w:rsidRPr="00FD5818">
      <w:rPr>
        <w:noProof/>
        <w:lang w:val="de-DE"/>
      </w:rPr>
      <w:t>2</w:t>
    </w:r>
    <w:r w:rsidRPr="004F2568">
      <w:fldChar w:fldCharType="end"/>
    </w:r>
    <w:r w:rsidRPr="004F2568">
      <w:rPr>
        <w:lang w:val="de-DE"/>
      </w:rPr>
      <w:t xml:space="preserve"> von </w:t>
    </w:r>
    <w:r w:rsidR="00CF3772">
      <w:fldChar w:fldCharType="begin"/>
    </w:r>
    <w:r w:rsidR="00CF3772">
      <w:instrText>NUMPAGES  \* Arabic  \* MERGEFORMAT</w:instrText>
    </w:r>
    <w:r w:rsidR="00CF3772">
      <w:fldChar w:fldCharType="separate"/>
    </w:r>
    <w:r w:rsidR="00FD5818" w:rsidRPr="00FD5818">
      <w:rPr>
        <w:noProof/>
        <w:lang w:val="de-DE"/>
      </w:rPr>
      <w:t>10</w:t>
    </w:r>
    <w:r w:rsidR="00CF3772">
      <w:rPr>
        <w:noProof/>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A9592" w14:textId="77777777" w:rsidR="00CF3772" w:rsidRDefault="00CF3772" w:rsidP="00E61129">
      <w:pPr>
        <w:spacing w:after="0"/>
      </w:pPr>
      <w:r>
        <w:separator/>
      </w:r>
    </w:p>
  </w:footnote>
  <w:footnote w:type="continuationSeparator" w:id="0">
    <w:p w14:paraId="094ABC39" w14:textId="77777777" w:rsidR="00CF3772" w:rsidRDefault="00CF3772" w:rsidP="00E611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KantonTab2"/>
      <w:tblW w:w="0" w:type="auto"/>
      <w:tblLook w:val="04A0" w:firstRow="1" w:lastRow="0" w:firstColumn="1" w:lastColumn="0" w:noHBand="0" w:noVBand="1"/>
      <w:tblCaption w:val="Adresse Direktion"/>
      <w:tblDescription w:val="Adresse, wie Amt der Direktion. Wird einmalig eingetragen"/>
    </w:tblPr>
    <w:tblGrid>
      <w:gridCol w:w="2438"/>
      <w:gridCol w:w="2438"/>
    </w:tblGrid>
    <w:tr w:rsidR="008E6471" w:rsidRPr="00FD5818" w14:paraId="451E1848" w14:textId="77777777" w:rsidTr="00BF5EB3">
      <w:trPr>
        <w:trHeight w:hRule="exact" w:val="1077"/>
      </w:trPr>
      <w:tc>
        <w:tcPr>
          <w:tcW w:w="2438" w:type="dxa"/>
        </w:tcPr>
        <w:p w14:paraId="1326E82B" w14:textId="77777777" w:rsidR="008E6471" w:rsidRPr="00DE550D" w:rsidRDefault="008E6471" w:rsidP="00DE550D">
          <w:pPr>
            <w:pStyle w:val="KopfDirektion9ptFett"/>
          </w:pPr>
          <w:bookmarkStart w:id="2" w:name="dir1"/>
          <w:bookmarkStart w:id="3" w:name="Gesamt"/>
          <w:r>
            <w:t xml:space="preserve">Justiz-, </w:t>
          </w:r>
          <w:bookmarkEnd w:id="2"/>
          <w:r>
            <w:t>Gemeinde- und</w:t>
          </w:r>
        </w:p>
        <w:p w14:paraId="56A57663" w14:textId="77777777" w:rsidR="008E6471" w:rsidRPr="00DE550D" w:rsidRDefault="008E6471" w:rsidP="00DE550D">
          <w:pPr>
            <w:pStyle w:val="KopfDirektion9ptFett"/>
          </w:pPr>
          <w:r>
            <w:t>Kirchendirektion des</w:t>
          </w:r>
        </w:p>
        <w:bookmarkEnd w:id="3"/>
        <w:p w14:paraId="24BB99B8" w14:textId="77777777" w:rsidR="008E6471" w:rsidRPr="00DE550D" w:rsidRDefault="008E6471" w:rsidP="00DE550D">
          <w:pPr>
            <w:pStyle w:val="KopfDirektion9ptFett"/>
          </w:pPr>
          <w:r>
            <w:t>Kantons Bern</w:t>
          </w:r>
        </w:p>
        <w:p w14:paraId="4C04F4F2" w14:textId="77777777" w:rsidR="008E6471" w:rsidRPr="00DE550D" w:rsidRDefault="008E6471" w:rsidP="00DE550D">
          <w:pPr>
            <w:pStyle w:val="KopfDirektion9ptFett"/>
          </w:pPr>
        </w:p>
      </w:tc>
      <w:tc>
        <w:tcPr>
          <w:tcW w:w="2438" w:type="dxa"/>
        </w:tcPr>
        <w:p w14:paraId="7535BE3B" w14:textId="77777777" w:rsidR="008E6471" w:rsidRPr="000C3879" w:rsidRDefault="008E6471" w:rsidP="00DE550D">
          <w:pPr>
            <w:pStyle w:val="KopfDirektion9ptFett"/>
            <w:rPr>
              <w:lang w:val="fr-CH"/>
            </w:rPr>
          </w:pPr>
          <w:r w:rsidRPr="00D51BCF">
            <w:rPr>
              <w:lang w:val="fr-CH"/>
            </w:rPr>
            <w:t>Direction de la justice,</w:t>
          </w:r>
        </w:p>
        <w:p w14:paraId="29CFC0DD" w14:textId="77777777" w:rsidR="008E6471" w:rsidRPr="000C3879" w:rsidRDefault="008E6471" w:rsidP="00DE550D">
          <w:pPr>
            <w:pStyle w:val="KopfDirektion9ptFett"/>
            <w:rPr>
              <w:lang w:val="fr-CH"/>
            </w:rPr>
          </w:pPr>
          <w:r w:rsidRPr="00D51BCF">
            <w:rPr>
              <w:lang w:val="fr-CH"/>
            </w:rPr>
            <w:t>des affaires communales et</w:t>
          </w:r>
        </w:p>
        <w:p w14:paraId="2226B9A0" w14:textId="77777777" w:rsidR="008E6471" w:rsidRPr="00D51BCF" w:rsidRDefault="008E6471" w:rsidP="00DE550D">
          <w:pPr>
            <w:pStyle w:val="KopfDirektion9ptFett"/>
            <w:rPr>
              <w:lang w:val="fr-CH"/>
            </w:rPr>
          </w:pPr>
          <w:r w:rsidRPr="00D51BCF">
            <w:rPr>
              <w:lang w:val="fr-CH"/>
            </w:rPr>
            <w:t>des affaires ecclésiastiques</w:t>
          </w:r>
        </w:p>
        <w:p w14:paraId="42ABF2B6" w14:textId="77777777" w:rsidR="008E6471" w:rsidRPr="00D51BCF" w:rsidRDefault="008E6471" w:rsidP="00DE550D">
          <w:pPr>
            <w:pStyle w:val="KopfDirektion9ptFett"/>
            <w:rPr>
              <w:lang w:val="fr-CH"/>
            </w:rPr>
          </w:pPr>
          <w:r w:rsidRPr="00D51BCF">
            <w:rPr>
              <w:lang w:val="fr-CH"/>
            </w:rPr>
            <w:t>du canton de Berne</w:t>
          </w:r>
        </w:p>
        <w:p w14:paraId="598B03D0" w14:textId="77777777" w:rsidR="008E6471" w:rsidRPr="00D51BCF" w:rsidRDefault="008E6471" w:rsidP="00DE550D">
          <w:pPr>
            <w:pStyle w:val="KopfDirektion9ptFett"/>
            <w:rPr>
              <w:lang w:val="fr-CH"/>
            </w:rPr>
          </w:pPr>
        </w:p>
      </w:tc>
    </w:tr>
    <w:tr w:rsidR="008E6471" w14:paraId="3D740676" w14:textId="77777777" w:rsidTr="00D51BCF">
      <w:trPr>
        <w:trHeight w:hRule="exact" w:val="343"/>
      </w:trPr>
      <w:tc>
        <w:tcPr>
          <w:tcW w:w="2438" w:type="dxa"/>
        </w:tcPr>
        <w:p w14:paraId="2E965434" w14:textId="77777777" w:rsidR="008E6471" w:rsidRDefault="008E6471" w:rsidP="00D51BCF">
          <w:pPr>
            <w:pStyle w:val="KopfAmt9pt"/>
          </w:pPr>
          <w:r>
            <w:t>Kantonales</w:t>
          </w:r>
          <w:bookmarkStart w:id="4" w:name="amt"/>
          <w:r>
            <w:t xml:space="preserve"> Jugendamt </w:t>
          </w:r>
          <w:bookmarkEnd w:id="4"/>
        </w:p>
      </w:tc>
      <w:tc>
        <w:tcPr>
          <w:tcW w:w="2438" w:type="dxa"/>
        </w:tcPr>
        <w:p w14:paraId="582924C2" w14:textId="77777777" w:rsidR="008E6471" w:rsidRDefault="008E6471" w:rsidP="00D51BCF">
          <w:pPr>
            <w:pStyle w:val="KopfAmt9pt"/>
          </w:pPr>
          <w:r>
            <w:t xml:space="preserve">Office des </w:t>
          </w:r>
          <w:proofErr w:type="spellStart"/>
          <w:r>
            <w:t>mineurs</w:t>
          </w:r>
          <w:proofErr w:type="spellEnd"/>
        </w:p>
      </w:tc>
    </w:tr>
  </w:tbl>
  <w:p w14:paraId="2728AA7F" w14:textId="77777777" w:rsidR="008E6471" w:rsidRDefault="008E6471" w:rsidP="0074273C">
    <w:pPr>
      <w:pStyle w:val="Kopfzeile"/>
      <w:spacing w:after="240"/>
    </w:pPr>
    <w:r>
      <w:rPr>
        <w:noProof/>
        <w:lang w:eastAsia="de-CH"/>
      </w:rPr>
      <w:drawing>
        <wp:anchor distT="0" distB="0" distL="114300" distR="114300" simplePos="0" relativeHeight="251658240" behindDoc="1" locked="0" layoutInCell="0" allowOverlap="1" wp14:anchorId="624E2415" wp14:editId="6ACB2A52">
          <wp:simplePos x="0" y="0"/>
          <wp:positionH relativeFrom="column">
            <wp:posOffset>-791845</wp:posOffset>
          </wp:positionH>
          <wp:positionV relativeFrom="page">
            <wp:posOffset>4644390</wp:posOffset>
          </wp:positionV>
          <wp:extent cx="558000" cy="684000"/>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warz_für 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000" cy="68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7163"/>
    <w:multiLevelType w:val="hybridMultilevel"/>
    <w:tmpl w:val="640CBAE4"/>
    <w:lvl w:ilvl="0" w:tplc="43801BEC">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3663EE"/>
    <w:multiLevelType w:val="multilevel"/>
    <w:tmpl w:val="1F9A9AD0"/>
    <w:numStyleLink w:val="ListeNummernAltN"/>
  </w:abstractNum>
  <w:abstractNum w:abstractNumId="2" w15:restartNumberingAfterBreak="0">
    <w:nsid w:val="1A8B05E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7F095C"/>
    <w:multiLevelType w:val="multilevel"/>
    <w:tmpl w:val="1F9A9A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034431"/>
    <w:multiLevelType w:val="hybridMultilevel"/>
    <w:tmpl w:val="85466490"/>
    <w:lvl w:ilvl="0" w:tplc="1CD454E4">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0F87FD6"/>
    <w:multiLevelType w:val="multilevel"/>
    <w:tmpl w:val="FA60DFCA"/>
    <w:styleLink w:val="ListeAufzhlungAltX"/>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Wingdings" w:hAnsi="Wingdings"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6" w15:restartNumberingAfterBreak="0">
    <w:nsid w:val="232D3B8D"/>
    <w:multiLevelType w:val="hybridMultilevel"/>
    <w:tmpl w:val="A3FC81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E9428C8"/>
    <w:multiLevelType w:val="hybridMultilevel"/>
    <w:tmpl w:val="5078A5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FA74316"/>
    <w:multiLevelType w:val="multilevel"/>
    <w:tmpl w:val="1F9A9A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D07FC8"/>
    <w:multiLevelType w:val="multilevel"/>
    <w:tmpl w:val="1F9A9AD0"/>
    <w:styleLink w:val="ListeNummernAltN"/>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7A84C1F"/>
    <w:multiLevelType w:val="hybridMultilevel"/>
    <w:tmpl w:val="11381506"/>
    <w:lvl w:ilvl="0" w:tplc="2A0098C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9B32013"/>
    <w:multiLevelType w:val="hybridMultilevel"/>
    <w:tmpl w:val="7E0273DA"/>
    <w:lvl w:ilvl="0" w:tplc="E40A11A6">
      <w:start w:val="1"/>
      <w:numFmt w:val="bullet"/>
      <w:pStyle w:val="AufzhlungfrTabelle9p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1AB224D"/>
    <w:multiLevelType w:val="multilevel"/>
    <w:tmpl w:val="8D3CB114"/>
    <w:styleLink w:val="ListegemischtAltG"/>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3" w15:restartNumberingAfterBreak="0">
    <w:nsid w:val="66785FC0"/>
    <w:multiLevelType w:val="hybridMultilevel"/>
    <w:tmpl w:val="60F2C306"/>
    <w:lvl w:ilvl="0" w:tplc="5DBC5DDA">
      <w:start w:val="1"/>
      <w:numFmt w:val="bullet"/>
      <w:pStyle w:val="Enclosures1"/>
      <w:lvlText w:val="-"/>
      <w:lvlJc w:val="left"/>
      <w:pPr>
        <w:tabs>
          <w:tab w:val="num" w:pos="170"/>
        </w:tabs>
        <w:ind w:left="170" w:hanging="170"/>
      </w:pPr>
      <w:rPr>
        <w:rFonts w:ascii="Arial" w:hAnsi="Arial" w:hint="default"/>
      </w:rPr>
    </w:lvl>
    <w:lvl w:ilvl="1" w:tplc="0FCA1CAA" w:tentative="1">
      <w:start w:val="1"/>
      <w:numFmt w:val="bullet"/>
      <w:lvlText w:val="o"/>
      <w:lvlJc w:val="left"/>
      <w:pPr>
        <w:tabs>
          <w:tab w:val="num" w:pos="1440"/>
        </w:tabs>
        <w:ind w:left="1440" w:hanging="360"/>
      </w:pPr>
      <w:rPr>
        <w:rFonts w:ascii="Courier New" w:hAnsi="Courier New" w:cs="Courier New" w:hint="default"/>
      </w:rPr>
    </w:lvl>
    <w:lvl w:ilvl="2" w:tplc="05947378" w:tentative="1">
      <w:start w:val="1"/>
      <w:numFmt w:val="bullet"/>
      <w:lvlText w:val=""/>
      <w:lvlJc w:val="left"/>
      <w:pPr>
        <w:tabs>
          <w:tab w:val="num" w:pos="2160"/>
        </w:tabs>
        <w:ind w:left="2160" w:hanging="360"/>
      </w:pPr>
      <w:rPr>
        <w:rFonts w:ascii="Wingdings" w:hAnsi="Wingdings" w:hint="default"/>
      </w:rPr>
    </w:lvl>
    <w:lvl w:ilvl="3" w:tplc="202C9A24" w:tentative="1">
      <w:start w:val="1"/>
      <w:numFmt w:val="bullet"/>
      <w:lvlText w:val=""/>
      <w:lvlJc w:val="left"/>
      <w:pPr>
        <w:tabs>
          <w:tab w:val="num" w:pos="2880"/>
        </w:tabs>
        <w:ind w:left="2880" w:hanging="360"/>
      </w:pPr>
      <w:rPr>
        <w:rFonts w:ascii="Symbol" w:hAnsi="Symbol" w:hint="default"/>
      </w:rPr>
    </w:lvl>
    <w:lvl w:ilvl="4" w:tplc="E40AF4D8" w:tentative="1">
      <w:start w:val="1"/>
      <w:numFmt w:val="bullet"/>
      <w:lvlText w:val="o"/>
      <w:lvlJc w:val="left"/>
      <w:pPr>
        <w:tabs>
          <w:tab w:val="num" w:pos="3600"/>
        </w:tabs>
        <w:ind w:left="3600" w:hanging="360"/>
      </w:pPr>
      <w:rPr>
        <w:rFonts w:ascii="Courier New" w:hAnsi="Courier New" w:cs="Courier New" w:hint="default"/>
      </w:rPr>
    </w:lvl>
    <w:lvl w:ilvl="5" w:tplc="9F2AA6DE" w:tentative="1">
      <w:start w:val="1"/>
      <w:numFmt w:val="bullet"/>
      <w:lvlText w:val=""/>
      <w:lvlJc w:val="left"/>
      <w:pPr>
        <w:tabs>
          <w:tab w:val="num" w:pos="4320"/>
        </w:tabs>
        <w:ind w:left="4320" w:hanging="360"/>
      </w:pPr>
      <w:rPr>
        <w:rFonts w:ascii="Wingdings" w:hAnsi="Wingdings" w:hint="default"/>
      </w:rPr>
    </w:lvl>
    <w:lvl w:ilvl="6" w:tplc="1F2E8B58" w:tentative="1">
      <w:start w:val="1"/>
      <w:numFmt w:val="bullet"/>
      <w:lvlText w:val=""/>
      <w:lvlJc w:val="left"/>
      <w:pPr>
        <w:tabs>
          <w:tab w:val="num" w:pos="5040"/>
        </w:tabs>
        <w:ind w:left="5040" w:hanging="360"/>
      </w:pPr>
      <w:rPr>
        <w:rFonts w:ascii="Symbol" w:hAnsi="Symbol" w:hint="default"/>
      </w:rPr>
    </w:lvl>
    <w:lvl w:ilvl="7" w:tplc="5A3E62AC" w:tentative="1">
      <w:start w:val="1"/>
      <w:numFmt w:val="bullet"/>
      <w:lvlText w:val="o"/>
      <w:lvlJc w:val="left"/>
      <w:pPr>
        <w:tabs>
          <w:tab w:val="num" w:pos="5760"/>
        </w:tabs>
        <w:ind w:left="5760" w:hanging="360"/>
      </w:pPr>
      <w:rPr>
        <w:rFonts w:ascii="Courier New" w:hAnsi="Courier New" w:cs="Courier New" w:hint="default"/>
      </w:rPr>
    </w:lvl>
    <w:lvl w:ilvl="8" w:tplc="B7829F7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E053F1"/>
    <w:multiLevelType w:val="multilevel"/>
    <w:tmpl w:val="FA60DFCA"/>
    <w:numStyleLink w:val="ListeAufzhlungAltX"/>
  </w:abstractNum>
  <w:abstractNum w:abstractNumId="15" w15:restartNumberingAfterBreak="0">
    <w:nsid w:val="68B6662E"/>
    <w:multiLevelType w:val="multilevel"/>
    <w:tmpl w:val="1F9A9A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D9733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74436F17"/>
    <w:multiLevelType w:val="multilevel"/>
    <w:tmpl w:val="7B2CC24A"/>
    <w:lvl w:ilvl="0">
      <w:start w:val="1"/>
      <w:numFmt w:val="decimal"/>
      <w:lvlText w:val="%1."/>
      <w:lvlJc w:val="left"/>
      <w:pPr>
        <w:tabs>
          <w:tab w:val="num" w:pos="794"/>
        </w:tabs>
        <w:ind w:left="680" w:firstLine="114"/>
      </w:pPr>
      <w:rPr>
        <w:rFonts w:hint="default"/>
      </w:rPr>
    </w:lvl>
    <w:lvl w:ilvl="1">
      <w:start w:val="1"/>
      <w:numFmt w:val="decimal"/>
      <w:lvlText w:val="%1.%2."/>
      <w:lvlJc w:val="left"/>
      <w:pPr>
        <w:ind w:left="680" w:firstLine="114"/>
      </w:pPr>
      <w:rPr>
        <w:rFonts w:hint="default"/>
      </w:rPr>
    </w:lvl>
    <w:lvl w:ilvl="2">
      <w:start w:val="1"/>
      <w:numFmt w:val="decimal"/>
      <w:lvlText w:val="%1.%2.%3."/>
      <w:lvlJc w:val="left"/>
      <w:pPr>
        <w:ind w:left="680" w:firstLine="114"/>
      </w:pPr>
      <w:rPr>
        <w:rFonts w:hint="default"/>
      </w:rPr>
    </w:lvl>
    <w:lvl w:ilvl="3">
      <w:start w:val="1"/>
      <w:numFmt w:val="decimal"/>
      <w:lvlText w:val="%1.%2.%3.%4."/>
      <w:lvlJc w:val="left"/>
      <w:pPr>
        <w:tabs>
          <w:tab w:val="num" w:pos="1985"/>
        </w:tabs>
        <w:ind w:left="1588" w:firstLine="397"/>
      </w:pPr>
      <w:rPr>
        <w:rFonts w:hint="default"/>
      </w:rPr>
    </w:lvl>
    <w:lvl w:ilvl="4">
      <w:start w:val="1"/>
      <w:numFmt w:val="decimal"/>
      <w:lvlText w:val="%1.%2.%3.%4.%5."/>
      <w:lvlJc w:val="left"/>
      <w:pPr>
        <w:tabs>
          <w:tab w:val="num" w:pos="2382"/>
        </w:tabs>
        <w:ind w:left="1985" w:firstLine="397"/>
      </w:pPr>
      <w:rPr>
        <w:rFonts w:hint="default"/>
      </w:rPr>
    </w:lvl>
    <w:lvl w:ilvl="5">
      <w:start w:val="1"/>
      <w:numFmt w:val="decimal"/>
      <w:lvlText w:val="%1.%2.%3.%4.%5.%6."/>
      <w:lvlJc w:val="left"/>
      <w:pPr>
        <w:tabs>
          <w:tab w:val="num" w:pos="2779"/>
        </w:tabs>
        <w:ind w:left="2382" w:firstLine="397"/>
      </w:pPr>
      <w:rPr>
        <w:rFonts w:hint="default"/>
      </w:rPr>
    </w:lvl>
    <w:lvl w:ilvl="6">
      <w:start w:val="1"/>
      <w:numFmt w:val="decimal"/>
      <w:lvlText w:val="%1.%2.%3.%4.%5.%6.%7."/>
      <w:lvlJc w:val="left"/>
      <w:pPr>
        <w:tabs>
          <w:tab w:val="num" w:pos="3176"/>
        </w:tabs>
        <w:ind w:left="2779" w:firstLine="397"/>
      </w:pPr>
      <w:rPr>
        <w:rFonts w:hint="default"/>
      </w:rPr>
    </w:lvl>
    <w:lvl w:ilvl="7">
      <w:start w:val="1"/>
      <w:numFmt w:val="decimal"/>
      <w:lvlText w:val="%1.%2.%3.%4.%5.%6.%7.%8."/>
      <w:lvlJc w:val="left"/>
      <w:pPr>
        <w:tabs>
          <w:tab w:val="num" w:pos="3573"/>
        </w:tabs>
        <w:ind w:left="3176" w:firstLine="397"/>
      </w:pPr>
      <w:rPr>
        <w:rFonts w:hint="default"/>
      </w:rPr>
    </w:lvl>
    <w:lvl w:ilvl="8">
      <w:start w:val="1"/>
      <w:numFmt w:val="decimal"/>
      <w:lvlText w:val="%1.%2.%3.%4.%5.%6.%7.%8.%9."/>
      <w:lvlJc w:val="left"/>
      <w:pPr>
        <w:tabs>
          <w:tab w:val="num" w:pos="3970"/>
        </w:tabs>
        <w:ind w:left="3573" w:firstLine="397"/>
      </w:pPr>
      <w:rPr>
        <w:rFonts w:hint="default"/>
      </w:rPr>
    </w:lvl>
  </w:abstractNum>
  <w:num w:numId="1">
    <w:abstractNumId w:val="16"/>
  </w:num>
  <w:num w:numId="2">
    <w:abstractNumId w:val="0"/>
  </w:num>
  <w:num w:numId="3">
    <w:abstractNumId w:val="4"/>
  </w:num>
  <w:num w:numId="4">
    <w:abstractNumId w:val="2"/>
  </w:num>
  <w:num w:numId="5">
    <w:abstractNumId w:val="3"/>
  </w:num>
  <w:num w:numId="6">
    <w:abstractNumId w:val="9"/>
  </w:num>
  <w:num w:numId="7">
    <w:abstractNumId w:val="15"/>
  </w:num>
  <w:num w:numId="8">
    <w:abstractNumId w:val="8"/>
  </w:num>
  <w:num w:numId="9">
    <w:abstractNumId w:val="17"/>
  </w:num>
  <w:num w:numId="10">
    <w:abstractNumId w:val="0"/>
  </w:num>
  <w:num w:numId="11">
    <w:abstractNumId w:val="4"/>
  </w:num>
  <w:num w:numId="12">
    <w:abstractNumId w:val="16"/>
  </w:num>
  <w:num w:numId="13">
    <w:abstractNumId w:val="16"/>
  </w:num>
  <w:num w:numId="14">
    <w:abstractNumId w:val="16"/>
  </w:num>
  <w:num w:numId="15">
    <w:abstractNumId w:val="16"/>
  </w:num>
  <w:num w:numId="16">
    <w:abstractNumId w:val="16"/>
  </w:num>
  <w:num w:numId="17">
    <w:abstractNumId w:val="11"/>
  </w:num>
  <w:num w:numId="18">
    <w:abstractNumId w:val="5"/>
  </w:num>
  <w:num w:numId="19">
    <w:abstractNumId w:val="12"/>
  </w:num>
  <w:num w:numId="20">
    <w:abstractNumId w:val="9"/>
  </w:num>
  <w:num w:numId="21">
    <w:abstractNumId w:val="1"/>
  </w:num>
  <w:num w:numId="22">
    <w:abstractNumId w:val="14"/>
  </w:num>
  <w:num w:numId="23">
    <w:abstractNumId w:val="10"/>
  </w:num>
  <w:num w:numId="24">
    <w:abstractNumId w:val="13"/>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8D"/>
    <w:rsid w:val="000234B5"/>
    <w:rsid w:val="000249E3"/>
    <w:rsid w:val="00063B3E"/>
    <w:rsid w:val="0006510C"/>
    <w:rsid w:val="0008001E"/>
    <w:rsid w:val="000926CF"/>
    <w:rsid w:val="00093C68"/>
    <w:rsid w:val="00093DA1"/>
    <w:rsid w:val="000947D1"/>
    <w:rsid w:val="000A1533"/>
    <w:rsid w:val="000C3879"/>
    <w:rsid w:val="000D5FE5"/>
    <w:rsid w:val="000E1DDA"/>
    <w:rsid w:val="00122A60"/>
    <w:rsid w:val="00135F74"/>
    <w:rsid w:val="00147597"/>
    <w:rsid w:val="0015559D"/>
    <w:rsid w:val="00157EDE"/>
    <w:rsid w:val="00170109"/>
    <w:rsid w:val="00175EBC"/>
    <w:rsid w:val="00177A6F"/>
    <w:rsid w:val="001944C3"/>
    <w:rsid w:val="001B316A"/>
    <w:rsid w:val="001C412C"/>
    <w:rsid w:val="001D5C75"/>
    <w:rsid w:val="001F5496"/>
    <w:rsid w:val="00205734"/>
    <w:rsid w:val="00206BC9"/>
    <w:rsid w:val="00225D36"/>
    <w:rsid w:val="002467CE"/>
    <w:rsid w:val="002528A2"/>
    <w:rsid w:val="00262921"/>
    <w:rsid w:val="00282941"/>
    <w:rsid w:val="0028560E"/>
    <w:rsid w:val="002B17C6"/>
    <w:rsid w:val="002C7AC7"/>
    <w:rsid w:val="00300BAD"/>
    <w:rsid w:val="00300CE2"/>
    <w:rsid w:val="003016DD"/>
    <w:rsid w:val="00307CF9"/>
    <w:rsid w:val="003131E0"/>
    <w:rsid w:val="00324B78"/>
    <w:rsid w:val="003251AC"/>
    <w:rsid w:val="00342F40"/>
    <w:rsid w:val="003575E2"/>
    <w:rsid w:val="00375183"/>
    <w:rsid w:val="003A28A5"/>
    <w:rsid w:val="003B7C36"/>
    <w:rsid w:val="003D7DAB"/>
    <w:rsid w:val="003E3D65"/>
    <w:rsid w:val="003F6D59"/>
    <w:rsid w:val="0042736B"/>
    <w:rsid w:val="004425C2"/>
    <w:rsid w:val="00453748"/>
    <w:rsid w:val="00456EEE"/>
    <w:rsid w:val="00460C6C"/>
    <w:rsid w:val="00467384"/>
    <w:rsid w:val="00480786"/>
    <w:rsid w:val="00496374"/>
    <w:rsid w:val="004966F3"/>
    <w:rsid w:val="004C17BE"/>
    <w:rsid w:val="004D5034"/>
    <w:rsid w:val="004F2568"/>
    <w:rsid w:val="00504C15"/>
    <w:rsid w:val="00515202"/>
    <w:rsid w:val="005173A5"/>
    <w:rsid w:val="00537FF1"/>
    <w:rsid w:val="005511EF"/>
    <w:rsid w:val="00556BE1"/>
    <w:rsid w:val="00562EDF"/>
    <w:rsid w:val="00585D39"/>
    <w:rsid w:val="0059437F"/>
    <w:rsid w:val="005A1975"/>
    <w:rsid w:val="005A48FD"/>
    <w:rsid w:val="005B4A2B"/>
    <w:rsid w:val="005C5596"/>
    <w:rsid w:val="005C6F8E"/>
    <w:rsid w:val="005D5528"/>
    <w:rsid w:val="005E3BDD"/>
    <w:rsid w:val="005E58B1"/>
    <w:rsid w:val="005E6AF2"/>
    <w:rsid w:val="005F73FC"/>
    <w:rsid w:val="00634654"/>
    <w:rsid w:val="00634953"/>
    <w:rsid w:val="00634CF1"/>
    <w:rsid w:val="00641070"/>
    <w:rsid w:val="00651E15"/>
    <w:rsid w:val="00652850"/>
    <w:rsid w:val="00660AA3"/>
    <w:rsid w:val="00662C7F"/>
    <w:rsid w:val="00666F57"/>
    <w:rsid w:val="0067729A"/>
    <w:rsid w:val="00677494"/>
    <w:rsid w:val="00687B21"/>
    <w:rsid w:val="006901A8"/>
    <w:rsid w:val="00691DD4"/>
    <w:rsid w:val="006A0488"/>
    <w:rsid w:val="006B5164"/>
    <w:rsid w:val="006C04F1"/>
    <w:rsid w:val="006C6FCD"/>
    <w:rsid w:val="006D36D8"/>
    <w:rsid w:val="006E7457"/>
    <w:rsid w:val="006F4AA4"/>
    <w:rsid w:val="00700867"/>
    <w:rsid w:val="00730CDC"/>
    <w:rsid w:val="0074273C"/>
    <w:rsid w:val="00752E18"/>
    <w:rsid w:val="007825C5"/>
    <w:rsid w:val="00784D93"/>
    <w:rsid w:val="007A080D"/>
    <w:rsid w:val="007E2CFC"/>
    <w:rsid w:val="007E6622"/>
    <w:rsid w:val="007F62B3"/>
    <w:rsid w:val="00811455"/>
    <w:rsid w:val="008118C8"/>
    <w:rsid w:val="008131ED"/>
    <w:rsid w:val="008157AA"/>
    <w:rsid w:val="008241E3"/>
    <w:rsid w:val="00825D87"/>
    <w:rsid w:val="00827C56"/>
    <w:rsid w:val="00847EC4"/>
    <w:rsid w:val="008B3229"/>
    <w:rsid w:val="008D10DF"/>
    <w:rsid w:val="008D6021"/>
    <w:rsid w:val="008E6471"/>
    <w:rsid w:val="00903CA1"/>
    <w:rsid w:val="0091707A"/>
    <w:rsid w:val="00935263"/>
    <w:rsid w:val="009453CA"/>
    <w:rsid w:val="009537DF"/>
    <w:rsid w:val="00954DF4"/>
    <w:rsid w:val="009773BD"/>
    <w:rsid w:val="009808D8"/>
    <w:rsid w:val="00994AE1"/>
    <w:rsid w:val="009A0357"/>
    <w:rsid w:val="009B0FE7"/>
    <w:rsid w:val="009C0A93"/>
    <w:rsid w:val="009C5978"/>
    <w:rsid w:val="00A10EDD"/>
    <w:rsid w:val="00A368F8"/>
    <w:rsid w:val="00A37D22"/>
    <w:rsid w:val="00A56E17"/>
    <w:rsid w:val="00A71ABD"/>
    <w:rsid w:val="00A7333A"/>
    <w:rsid w:val="00A91AC5"/>
    <w:rsid w:val="00A922BD"/>
    <w:rsid w:val="00A9626B"/>
    <w:rsid w:val="00AC60B5"/>
    <w:rsid w:val="00AD0C62"/>
    <w:rsid w:val="00AD3FDF"/>
    <w:rsid w:val="00AE2523"/>
    <w:rsid w:val="00AE4394"/>
    <w:rsid w:val="00AE5F2E"/>
    <w:rsid w:val="00AE61D3"/>
    <w:rsid w:val="00AE63FE"/>
    <w:rsid w:val="00B0459D"/>
    <w:rsid w:val="00B04BD7"/>
    <w:rsid w:val="00B10317"/>
    <w:rsid w:val="00B13FE4"/>
    <w:rsid w:val="00B200FB"/>
    <w:rsid w:val="00B23F47"/>
    <w:rsid w:val="00B25321"/>
    <w:rsid w:val="00B27990"/>
    <w:rsid w:val="00B419E6"/>
    <w:rsid w:val="00B47586"/>
    <w:rsid w:val="00B55B55"/>
    <w:rsid w:val="00B622D3"/>
    <w:rsid w:val="00B74121"/>
    <w:rsid w:val="00B8718F"/>
    <w:rsid w:val="00B90DA3"/>
    <w:rsid w:val="00B92F68"/>
    <w:rsid w:val="00BB5ECB"/>
    <w:rsid w:val="00BC46E0"/>
    <w:rsid w:val="00BD3450"/>
    <w:rsid w:val="00BF5EB3"/>
    <w:rsid w:val="00C01F72"/>
    <w:rsid w:val="00C07632"/>
    <w:rsid w:val="00C3229C"/>
    <w:rsid w:val="00C36A67"/>
    <w:rsid w:val="00C46E3D"/>
    <w:rsid w:val="00C72106"/>
    <w:rsid w:val="00C75671"/>
    <w:rsid w:val="00CC2326"/>
    <w:rsid w:val="00CC5498"/>
    <w:rsid w:val="00CC68A6"/>
    <w:rsid w:val="00CC6FA5"/>
    <w:rsid w:val="00CE1A46"/>
    <w:rsid w:val="00CF3772"/>
    <w:rsid w:val="00CF6440"/>
    <w:rsid w:val="00D10F90"/>
    <w:rsid w:val="00D32604"/>
    <w:rsid w:val="00D467AD"/>
    <w:rsid w:val="00D51BCF"/>
    <w:rsid w:val="00D67D1B"/>
    <w:rsid w:val="00D67F3A"/>
    <w:rsid w:val="00D80CF9"/>
    <w:rsid w:val="00DA1857"/>
    <w:rsid w:val="00DA6D2C"/>
    <w:rsid w:val="00DC0400"/>
    <w:rsid w:val="00DC1839"/>
    <w:rsid w:val="00DE0476"/>
    <w:rsid w:val="00DE550D"/>
    <w:rsid w:val="00DF5285"/>
    <w:rsid w:val="00DF635E"/>
    <w:rsid w:val="00E03253"/>
    <w:rsid w:val="00E05D02"/>
    <w:rsid w:val="00E0621F"/>
    <w:rsid w:val="00E22B35"/>
    <w:rsid w:val="00E25771"/>
    <w:rsid w:val="00E356DB"/>
    <w:rsid w:val="00E61129"/>
    <w:rsid w:val="00E641FE"/>
    <w:rsid w:val="00E71205"/>
    <w:rsid w:val="00E7158D"/>
    <w:rsid w:val="00E95816"/>
    <w:rsid w:val="00EA0C65"/>
    <w:rsid w:val="00EB6BEA"/>
    <w:rsid w:val="00EC3945"/>
    <w:rsid w:val="00ED0830"/>
    <w:rsid w:val="00ED2441"/>
    <w:rsid w:val="00ED2485"/>
    <w:rsid w:val="00ED2549"/>
    <w:rsid w:val="00ED2DA3"/>
    <w:rsid w:val="00ED3F01"/>
    <w:rsid w:val="00ED3FE8"/>
    <w:rsid w:val="00ED6840"/>
    <w:rsid w:val="00EE197E"/>
    <w:rsid w:val="00EF3677"/>
    <w:rsid w:val="00F17A15"/>
    <w:rsid w:val="00F37A9C"/>
    <w:rsid w:val="00F503E6"/>
    <w:rsid w:val="00F87E24"/>
    <w:rsid w:val="00F94677"/>
    <w:rsid w:val="00F962A0"/>
    <w:rsid w:val="00FA63C4"/>
    <w:rsid w:val="00FB52C1"/>
    <w:rsid w:val="00FC1FC8"/>
    <w:rsid w:val="00FC2424"/>
    <w:rsid w:val="00FC2FB0"/>
    <w:rsid w:val="00FD58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C3790"/>
  <w15:docId w15:val="{46A76826-339C-46FD-89CE-8FE08D87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F3A"/>
    <w:pPr>
      <w:spacing w:after="220" w:line="280" w:lineRule="atLeast"/>
    </w:pPr>
    <w:rPr>
      <w:rFonts w:ascii="Arial" w:hAnsi="Arial"/>
    </w:rPr>
  </w:style>
  <w:style w:type="paragraph" w:styleId="berschrift1">
    <w:name w:val="heading 1"/>
    <w:basedOn w:val="Standard"/>
    <w:next w:val="Standard"/>
    <w:link w:val="berschrift1Zchn"/>
    <w:uiPriority w:val="9"/>
    <w:qFormat/>
    <w:rsid w:val="00D67F3A"/>
    <w:pPr>
      <w:keepNext/>
      <w:keepLines/>
      <w:numPr>
        <w:numId w:val="16"/>
      </w:numPr>
      <w:spacing w:before="20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D67F3A"/>
    <w:pPr>
      <w:keepNext/>
      <w:keepLines/>
      <w:numPr>
        <w:ilvl w:val="1"/>
        <w:numId w:val="16"/>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D67F3A"/>
    <w:pPr>
      <w:keepNext/>
      <w:keepLines/>
      <w:numPr>
        <w:ilvl w:val="2"/>
        <w:numId w:val="16"/>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D67F3A"/>
    <w:pPr>
      <w:keepNext/>
      <w:keepLines/>
      <w:numPr>
        <w:ilvl w:val="3"/>
        <w:numId w:val="16"/>
      </w:numPr>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qFormat/>
    <w:rsid w:val="00D67F3A"/>
    <w:pPr>
      <w:keepNext/>
      <w:keepLines/>
      <w:numPr>
        <w:ilvl w:val="4"/>
        <w:numId w:val="16"/>
      </w:numPr>
      <w:spacing w:before="120" w:after="6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qFormat/>
    <w:rsid w:val="00634654"/>
    <w:pPr>
      <w:keepNext/>
      <w:keepLines/>
      <w:numPr>
        <w:ilvl w:val="5"/>
        <w:numId w:val="16"/>
      </w:numPr>
      <w:spacing w:before="200" w:after="0"/>
      <w:outlineLvl w:val="5"/>
    </w:pPr>
    <w:rPr>
      <w:rFonts w:asciiTheme="majorHAnsi" w:eastAsiaTheme="majorEastAsia" w:hAnsiTheme="majorHAnsi" w:cstheme="majorBidi"/>
      <w:i/>
      <w:iCs/>
      <w:color w:val="2C2C2C" w:themeColor="accent1" w:themeShade="7F"/>
    </w:rPr>
  </w:style>
  <w:style w:type="paragraph" w:styleId="berschrift7">
    <w:name w:val="heading 7"/>
    <w:basedOn w:val="Standard"/>
    <w:next w:val="Standard"/>
    <w:link w:val="berschrift7Zchn"/>
    <w:uiPriority w:val="9"/>
    <w:semiHidden/>
    <w:qFormat/>
    <w:rsid w:val="00634654"/>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34654"/>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634654"/>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634654"/>
    <w:pPr>
      <w:spacing w:after="0"/>
    </w:pPr>
  </w:style>
  <w:style w:type="character" w:customStyle="1" w:styleId="berschrift1Zchn">
    <w:name w:val="Überschrift 1 Zchn"/>
    <w:basedOn w:val="Absatz-Standardschriftart"/>
    <w:link w:val="berschrift1"/>
    <w:uiPriority w:val="9"/>
    <w:rsid w:val="00D67F3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D67F3A"/>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D67F3A"/>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D67F3A"/>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rsid w:val="00D67F3A"/>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118C8"/>
    <w:rPr>
      <w:rFonts w:asciiTheme="majorHAnsi" w:eastAsiaTheme="majorEastAsia" w:hAnsiTheme="majorHAnsi" w:cstheme="majorBidi"/>
      <w:i/>
      <w:iCs/>
      <w:color w:val="2C2C2C" w:themeColor="accent1" w:themeShade="7F"/>
    </w:rPr>
  </w:style>
  <w:style w:type="character" w:customStyle="1" w:styleId="berschrift7Zchn">
    <w:name w:val="Überschrift 7 Zchn"/>
    <w:basedOn w:val="Absatz-Standardschriftart"/>
    <w:link w:val="berschrift7"/>
    <w:uiPriority w:val="9"/>
    <w:semiHidden/>
    <w:rsid w:val="008118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18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18C8"/>
    <w:rPr>
      <w:rFonts w:asciiTheme="majorHAnsi" w:eastAsiaTheme="majorEastAsia" w:hAnsiTheme="majorHAnsi" w:cstheme="majorBidi"/>
      <w:i/>
      <w:iCs/>
      <w:color w:val="404040" w:themeColor="text1" w:themeTint="BF"/>
      <w:sz w:val="20"/>
      <w:szCs w:val="20"/>
    </w:rPr>
  </w:style>
  <w:style w:type="paragraph" w:customStyle="1" w:styleId="BetreffTitel">
    <w:name w:val="Betreff_Titel"/>
    <w:basedOn w:val="Standard"/>
    <w:uiPriority w:val="3"/>
    <w:qFormat/>
    <w:rsid w:val="00D67F3A"/>
    <w:rPr>
      <w:b/>
    </w:rPr>
  </w:style>
  <w:style w:type="paragraph" w:customStyle="1" w:styleId="Aufzhlung">
    <w:name w:val="Aufzählung"/>
    <w:basedOn w:val="Standard"/>
    <w:qFormat/>
    <w:rsid w:val="00D67F3A"/>
    <w:pPr>
      <w:numPr>
        <w:numId w:val="10"/>
      </w:numPr>
      <w:contextualSpacing/>
    </w:pPr>
  </w:style>
  <w:style w:type="paragraph" w:customStyle="1" w:styleId="Nummerierung">
    <w:name w:val="Nummerierung"/>
    <w:basedOn w:val="Standard"/>
    <w:uiPriority w:val="2"/>
    <w:qFormat/>
    <w:rsid w:val="00D67F3A"/>
    <w:pPr>
      <w:numPr>
        <w:numId w:val="11"/>
      </w:numPr>
      <w:contextualSpacing/>
    </w:pPr>
  </w:style>
  <w:style w:type="paragraph" w:styleId="Titel">
    <w:name w:val="Title"/>
    <w:basedOn w:val="Standard"/>
    <w:next w:val="Standard"/>
    <w:link w:val="TitelZchn"/>
    <w:uiPriority w:val="3"/>
    <w:qFormat/>
    <w:rsid w:val="00D67F3A"/>
    <w:pPr>
      <w:spacing w:before="200" w:after="60"/>
    </w:pPr>
    <w:rPr>
      <w:rFonts w:eastAsiaTheme="majorEastAsia" w:cstheme="majorBidi"/>
      <w:b/>
      <w:spacing w:val="5"/>
      <w:kern w:val="28"/>
      <w:sz w:val="24"/>
      <w:szCs w:val="52"/>
    </w:rPr>
  </w:style>
  <w:style w:type="character" w:customStyle="1" w:styleId="TitelZchn">
    <w:name w:val="Titel Zchn"/>
    <w:basedOn w:val="Absatz-Standardschriftart"/>
    <w:link w:val="Titel"/>
    <w:uiPriority w:val="3"/>
    <w:rsid w:val="00D67F3A"/>
    <w:rPr>
      <w:rFonts w:ascii="Arial" w:eastAsiaTheme="majorEastAsia" w:hAnsi="Arial" w:cstheme="majorBidi"/>
      <w:b/>
      <w:spacing w:val="5"/>
      <w:kern w:val="28"/>
      <w:sz w:val="24"/>
      <w:szCs w:val="52"/>
    </w:rPr>
  </w:style>
  <w:style w:type="paragraph" w:styleId="Kopfzeile">
    <w:name w:val="header"/>
    <w:basedOn w:val="Standard"/>
    <w:link w:val="KopfzeileZchn"/>
    <w:uiPriority w:val="99"/>
    <w:unhideWhenUsed/>
    <w:rsid w:val="00677494"/>
    <w:pPr>
      <w:tabs>
        <w:tab w:val="center" w:pos="4536"/>
        <w:tab w:val="right" w:pos="9072"/>
      </w:tabs>
      <w:spacing w:after="0" w:line="240" w:lineRule="atLeast"/>
    </w:pPr>
    <w:rPr>
      <w:sz w:val="18"/>
    </w:rPr>
  </w:style>
  <w:style w:type="character" w:customStyle="1" w:styleId="KopfzeileZchn">
    <w:name w:val="Kopfzeile Zchn"/>
    <w:basedOn w:val="Absatz-Standardschriftart"/>
    <w:link w:val="Kopfzeile"/>
    <w:uiPriority w:val="99"/>
    <w:rsid w:val="00677494"/>
    <w:rPr>
      <w:rFonts w:ascii="Arial" w:hAnsi="Arial"/>
      <w:sz w:val="18"/>
    </w:rPr>
  </w:style>
  <w:style w:type="paragraph" w:styleId="Fuzeile">
    <w:name w:val="footer"/>
    <w:basedOn w:val="Standard"/>
    <w:link w:val="FuzeileZchn"/>
    <w:uiPriority w:val="99"/>
    <w:unhideWhenUsed/>
    <w:rsid w:val="003E3D65"/>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3E3D65"/>
    <w:rPr>
      <w:rFonts w:ascii="Arial" w:hAnsi="Arial"/>
      <w:color w:val="808080" w:themeColor="background1" w:themeShade="80"/>
      <w:sz w:val="16"/>
    </w:rPr>
  </w:style>
  <w:style w:type="paragraph" w:styleId="Beschriftung">
    <w:name w:val="caption"/>
    <w:basedOn w:val="Standard"/>
    <w:next w:val="Standard"/>
    <w:uiPriority w:val="35"/>
    <w:unhideWhenUsed/>
    <w:rsid w:val="00E61129"/>
    <w:pPr>
      <w:spacing w:before="60"/>
    </w:pPr>
    <w:rPr>
      <w:b/>
      <w:bCs/>
      <w:sz w:val="18"/>
      <w:szCs w:val="18"/>
    </w:rPr>
  </w:style>
  <w:style w:type="paragraph" w:styleId="Listenabsatz">
    <w:name w:val="List Paragraph"/>
    <w:basedOn w:val="Standard"/>
    <w:uiPriority w:val="34"/>
    <w:qFormat/>
    <w:rsid w:val="00E61129"/>
    <w:pPr>
      <w:ind w:left="720"/>
      <w:contextualSpacing/>
    </w:pPr>
  </w:style>
  <w:style w:type="numbering" w:customStyle="1" w:styleId="KantonListe">
    <w:name w:val="Kanton_Liste"/>
    <w:uiPriority w:val="99"/>
    <w:rsid w:val="00A71ABD"/>
  </w:style>
  <w:style w:type="table" w:styleId="Tabellenraster">
    <w:name w:val="Table Grid"/>
    <w:basedOn w:val="NormaleTabelle"/>
    <w:rsid w:val="006D36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table" w:styleId="HelleListe-Akzent1">
    <w:name w:val="Light List Accent 1"/>
    <w:aliases w:val="Kanton_Tab"/>
    <w:basedOn w:val="NormaleTabelle"/>
    <w:uiPriority w:val="61"/>
    <w:rsid w:val="00324B78"/>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tblCellMar>
    </w:tblPr>
    <w:tblStylePr w:type="firstRow">
      <w:pPr>
        <w:wordWrap/>
        <w:spacing w:before="0" w:beforeAutospacing="0" w:after="0" w:afterAutospacing="0" w:line="240" w:lineRule="auto"/>
      </w:pPr>
      <w:rPr>
        <w:b/>
        <w:bCs/>
        <w:color w:val="FFFFFF"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customStyle="1" w:styleId="KantonTab2">
    <w:name w:val="Kanton_Tab2"/>
    <w:basedOn w:val="NormaleTabelle"/>
    <w:uiPriority w:val="99"/>
    <w:rsid w:val="00A71ABD"/>
    <w:pPr>
      <w:spacing w:after="0"/>
    </w:pPr>
    <w:tblPr>
      <w:tblCellMar>
        <w:left w:w="0" w:type="dxa"/>
        <w:right w:w="0" w:type="dxa"/>
      </w:tblCellMar>
    </w:tblPr>
  </w:style>
  <w:style w:type="table" w:customStyle="1" w:styleId="KantonTab1">
    <w:name w:val="Kanton_Tab1"/>
    <w:basedOn w:val="NormaleTabelle"/>
    <w:uiPriority w:val="99"/>
    <w:rsid w:val="006D36D8"/>
    <w:pPr>
      <w:spacing w:after="0"/>
    </w:p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paragraph" w:styleId="Sprechblasentext">
    <w:name w:val="Balloon Text"/>
    <w:basedOn w:val="Standard"/>
    <w:link w:val="SprechblasentextZchn"/>
    <w:uiPriority w:val="99"/>
    <w:semiHidden/>
    <w:unhideWhenUsed/>
    <w:rsid w:val="000A153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533"/>
    <w:rPr>
      <w:rFonts w:ascii="Tahoma" w:hAnsi="Tahoma" w:cs="Tahoma"/>
      <w:sz w:val="16"/>
      <w:szCs w:val="16"/>
    </w:rPr>
  </w:style>
  <w:style w:type="paragraph" w:styleId="Verzeichnis1">
    <w:name w:val="toc 1"/>
    <w:basedOn w:val="Standard"/>
    <w:next w:val="Standard"/>
    <w:uiPriority w:val="39"/>
    <w:unhideWhenUsed/>
    <w:rsid w:val="002467CE"/>
    <w:pPr>
      <w:tabs>
        <w:tab w:val="right" w:leader="dot" w:pos="9072"/>
      </w:tabs>
      <w:spacing w:before="280" w:after="80"/>
      <w:ind w:left="454" w:right="1418" w:hanging="454"/>
    </w:pPr>
    <w:rPr>
      <w:b/>
    </w:rPr>
  </w:style>
  <w:style w:type="paragraph" w:styleId="Verzeichnis2">
    <w:name w:val="toc 2"/>
    <w:basedOn w:val="Standard"/>
    <w:next w:val="Standard"/>
    <w:uiPriority w:val="39"/>
    <w:unhideWhenUsed/>
    <w:rsid w:val="002467CE"/>
    <w:pPr>
      <w:tabs>
        <w:tab w:val="right" w:leader="dot" w:pos="9072"/>
      </w:tabs>
      <w:spacing w:after="80"/>
      <w:ind w:left="1248" w:right="1418" w:hanging="794"/>
    </w:pPr>
  </w:style>
  <w:style w:type="paragraph" w:styleId="Verzeichnis3">
    <w:name w:val="toc 3"/>
    <w:basedOn w:val="Standard"/>
    <w:next w:val="Standard"/>
    <w:uiPriority w:val="39"/>
    <w:unhideWhenUsed/>
    <w:rsid w:val="002467CE"/>
    <w:pPr>
      <w:tabs>
        <w:tab w:val="right" w:leader="dot" w:pos="9072"/>
      </w:tabs>
      <w:spacing w:after="80"/>
      <w:ind w:left="2098" w:right="1418" w:hanging="851"/>
    </w:pPr>
  </w:style>
  <w:style w:type="character" w:styleId="Hyperlink">
    <w:name w:val="Hyperlink"/>
    <w:basedOn w:val="Absatz-Standardschriftart"/>
    <w:uiPriority w:val="99"/>
    <w:unhideWhenUsed/>
    <w:rsid w:val="000A1533"/>
    <w:rPr>
      <w:color w:val="0000FF" w:themeColor="hyperlink"/>
      <w:u w:val="single"/>
    </w:rPr>
  </w:style>
  <w:style w:type="paragraph" w:styleId="Index1">
    <w:name w:val="index 1"/>
    <w:basedOn w:val="Standard"/>
    <w:next w:val="Standard"/>
    <w:uiPriority w:val="99"/>
    <w:unhideWhenUsed/>
    <w:rsid w:val="00CC2326"/>
    <w:pPr>
      <w:spacing w:after="0"/>
      <w:ind w:left="220" w:hanging="220"/>
    </w:pPr>
    <w:rPr>
      <w:rFonts w:asciiTheme="minorHAnsi" w:hAnsiTheme="minorHAnsi" w:cstheme="minorHAnsi"/>
      <w:sz w:val="20"/>
      <w:szCs w:val="18"/>
    </w:rPr>
  </w:style>
  <w:style w:type="paragraph" w:styleId="Verzeichnis4">
    <w:name w:val="toc 4"/>
    <w:basedOn w:val="Standard"/>
    <w:next w:val="Standard"/>
    <w:uiPriority w:val="39"/>
    <w:unhideWhenUsed/>
    <w:rsid w:val="002467CE"/>
    <w:pPr>
      <w:tabs>
        <w:tab w:val="right" w:leader="dot" w:pos="9072"/>
      </w:tabs>
      <w:spacing w:after="80"/>
      <w:ind w:left="3289" w:right="1418" w:hanging="1191"/>
    </w:pPr>
    <w:rPr>
      <w:sz w:val="20"/>
    </w:rPr>
  </w:style>
  <w:style w:type="paragraph" w:styleId="Verzeichnis5">
    <w:name w:val="toc 5"/>
    <w:basedOn w:val="Standard"/>
    <w:next w:val="Standard"/>
    <w:uiPriority w:val="39"/>
    <w:unhideWhenUsed/>
    <w:rsid w:val="002467CE"/>
    <w:pPr>
      <w:tabs>
        <w:tab w:val="right" w:leader="dot" w:pos="9072"/>
      </w:tabs>
      <w:spacing w:after="80"/>
      <w:ind w:left="3686" w:right="1418" w:hanging="1588"/>
    </w:pPr>
    <w:rPr>
      <w:sz w:val="20"/>
    </w:rPr>
  </w:style>
  <w:style w:type="paragraph" w:styleId="Abbildungsverzeichnis">
    <w:name w:val="table of figures"/>
    <w:basedOn w:val="Standard"/>
    <w:next w:val="Standard"/>
    <w:uiPriority w:val="99"/>
    <w:unhideWhenUsed/>
    <w:rsid w:val="00D67F3A"/>
    <w:pPr>
      <w:tabs>
        <w:tab w:val="right" w:leader="dot" w:pos="9072"/>
      </w:tabs>
      <w:spacing w:after="0" w:line="200" w:lineRule="atLeast"/>
      <w:ind w:left="1247" w:right="1418" w:hanging="1247"/>
    </w:pPr>
    <w:rPr>
      <w:rFonts w:cstheme="minorHAnsi"/>
      <w:iCs/>
      <w:sz w:val="16"/>
      <w:szCs w:val="20"/>
    </w:rPr>
  </w:style>
  <w:style w:type="paragraph" w:styleId="Index2">
    <w:name w:val="index 2"/>
    <w:basedOn w:val="Standard"/>
    <w:next w:val="Standard"/>
    <w:autoRedefine/>
    <w:uiPriority w:val="99"/>
    <w:unhideWhenUsed/>
    <w:rsid w:val="00CF6440"/>
    <w:pPr>
      <w:spacing w:after="0"/>
      <w:ind w:left="440" w:hanging="220"/>
    </w:pPr>
    <w:rPr>
      <w:rFonts w:asciiTheme="minorHAnsi" w:hAnsiTheme="minorHAnsi" w:cstheme="minorHAnsi"/>
      <w:sz w:val="18"/>
      <w:szCs w:val="18"/>
    </w:rPr>
  </w:style>
  <w:style w:type="paragraph" w:styleId="Index4">
    <w:name w:val="index 4"/>
    <w:basedOn w:val="Standard"/>
    <w:next w:val="Standard"/>
    <w:uiPriority w:val="99"/>
    <w:unhideWhenUsed/>
    <w:rsid w:val="00CF6440"/>
    <w:pPr>
      <w:spacing w:after="0"/>
      <w:ind w:left="880" w:hanging="220"/>
    </w:pPr>
    <w:rPr>
      <w:rFonts w:asciiTheme="minorHAnsi" w:hAnsiTheme="minorHAnsi" w:cstheme="minorHAnsi"/>
      <w:sz w:val="18"/>
      <w:szCs w:val="18"/>
    </w:rPr>
  </w:style>
  <w:style w:type="paragraph" w:styleId="Index3">
    <w:name w:val="index 3"/>
    <w:basedOn w:val="Standard"/>
    <w:next w:val="Standard"/>
    <w:autoRedefine/>
    <w:uiPriority w:val="99"/>
    <w:unhideWhenUsed/>
    <w:rsid w:val="00CF6440"/>
    <w:pPr>
      <w:spacing w:after="0"/>
      <w:ind w:left="660" w:hanging="220"/>
    </w:pPr>
    <w:rPr>
      <w:rFonts w:asciiTheme="minorHAnsi" w:hAnsiTheme="minorHAnsi" w:cstheme="minorHAnsi"/>
      <w:sz w:val="18"/>
      <w:szCs w:val="18"/>
    </w:rPr>
  </w:style>
  <w:style w:type="paragraph" w:styleId="Index5">
    <w:name w:val="index 5"/>
    <w:basedOn w:val="Standard"/>
    <w:next w:val="Standard"/>
    <w:autoRedefine/>
    <w:uiPriority w:val="99"/>
    <w:unhideWhenUsed/>
    <w:rsid w:val="00CF6440"/>
    <w:pPr>
      <w:spacing w:after="0"/>
      <w:ind w:left="1100" w:hanging="220"/>
    </w:pPr>
    <w:rPr>
      <w:rFonts w:asciiTheme="minorHAnsi" w:hAnsiTheme="minorHAnsi" w:cstheme="minorHAnsi"/>
      <w:sz w:val="18"/>
      <w:szCs w:val="18"/>
    </w:rPr>
  </w:style>
  <w:style w:type="paragraph" w:styleId="Index6">
    <w:name w:val="index 6"/>
    <w:basedOn w:val="Standard"/>
    <w:next w:val="Standard"/>
    <w:autoRedefine/>
    <w:uiPriority w:val="99"/>
    <w:unhideWhenUsed/>
    <w:rsid w:val="00CF6440"/>
    <w:pPr>
      <w:spacing w:after="0"/>
      <w:ind w:left="1320" w:hanging="220"/>
    </w:pPr>
    <w:rPr>
      <w:rFonts w:asciiTheme="minorHAnsi" w:hAnsiTheme="minorHAnsi" w:cstheme="minorHAnsi"/>
      <w:sz w:val="18"/>
      <w:szCs w:val="18"/>
    </w:rPr>
  </w:style>
  <w:style w:type="paragraph" w:styleId="Index7">
    <w:name w:val="index 7"/>
    <w:basedOn w:val="Standard"/>
    <w:next w:val="Standard"/>
    <w:autoRedefine/>
    <w:uiPriority w:val="99"/>
    <w:unhideWhenUsed/>
    <w:rsid w:val="00CF6440"/>
    <w:pPr>
      <w:spacing w:after="0"/>
      <w:ind w:left="1540" w:hanging="220"/>
    </w:pPr>
    <w:rPr>
      <w:rFonts w:asciiTheme="minorHAnsi" w:hAnsiTheme="minorHAnsi" w:cstheme="minorHAnsi"/>
      <w:sz w:val="18"/>
      <w:szCs w:val="18"/>
    </w:rPr>
  </w:style>
  <w:style w:type="paragraph" w:styleId="Index8">
    <w:name w:val="index 8"/>
    <w:basedOn w:val="Standard"/>
    <w:next w:val="Standard"/>
    <w:autoRedefine/>
    <w:uiPriority w:val="99"/>
    <w:unhideWhenUsed/>
    <w:rsid w:val="00CF6440"/>
    <w:pPr>
      <w:spacing w:after="0"/>
      <w:ind w:left="1760" w:hanging="220"/>
    </w:pPr>
    <w:rPr>
      <w:rFonts w:asciiTheme="minorHAnsi" w:hAnsiTheme="minorHAnsi" w:cstheme="minorHAnsi"/>
      <w:sz w:val="18"/>
      <w:szCs w:val="18"/>
    </w:rPr>
  </w:style>
  <w:style w:type="paragraph" w:styleId="Index9">
    <w:name w:val="index 9"/>
    <w:basedOn w:val="Standard"/>
    <w:next w:val="Standard"/>
    <w:autoRedefine/>
    <w:uiPriority w:val="99"/>
    <w:unhideWhenUsed/>
    <w:rsid w:val="00CF6440"/>
    <w:pPr>
      <w:spacing w:after="0"/>
      <w:ind w:left="1980" w:hanging="220"/>
    </w:pPr>
    <w:rPr>
      <w:rFonts w:asciiTheme="minorHAnsi" w:hAnsiTheme="minorHAnsi" w:cstheme="minorHAnsi"/>
      <w:sz w:val="18"/>
      <w:szCs w:val="18"/>
    </w:rPr>
  </w:style>
  <w:style w:type="paragraph" w:styleId="Indexberschrift">
    <w:name w:val="index heading"/>
    <w:basedOn w:val="Standard"/>
    <w:next w:val="Index1"/>
    <w:uiPriority w:val="99"/>
    <w:unhideWhenUsed/>
    <w:rsid w:val="00CC2326"/>
    <w:pPr>
      <w:pBdr>
        <w:top w:val="single" w:sz="4" w:space="2" w:color="auto"/>
        <w:left w:val="single" w:sz="4" w:space="0" w:color="auto"/>
        <w:bottom w:val="single" w:sz="4" w:space="2" w:color="auto"/>
        <w:right w:val="single" w:sz="4" w:space="0" w:color="auto"/>
      </w:pBdr>
      <w:spacing w:before="240"/>
      <w:jc w:val="center"/>
    </w:pPr>
    <w:rPr>
      <w:rFonts w:asciiTheme="majorHAnsi" w:hAnsiTheme="majorHAnsi" w:cstheme="majorHAnsi"/>
      <w:b/>
      <w:bCs/>
    </w:rPr>
  </w:style>
  <w:style w:type="paragraph" w:styleId="Funotentext">
    <w:name w:val="footnote text"/>
    <w:basedOn w:val="Standard"/>
    <w:link w:val="FunotentextZchn"/>
    <w:uiPriority w:val="99"/>
    <w:unhideWhenUsed/>
    <w:rsid w:val="00D67F3A"/>
    <w:pPr>
      <w:tabs>
        <w:tab w:val="left" w:pos="454"/>
      </w:tabs>
      <w:spacing w:after="0" w:line="200" w:lineRule="atLeast"/>
      <w:ind w:left="454" w:hanging="454"/>
    </w:pPr>
    <w:rPr>
      <w:sz w:val="16"/>
      <w:szCs w:val="20"/>
    </w:rPr>
  </w:style>
  <w:style w:type="character" w:customStyle="1" w:styleId="FunotentextZchn">
    <w:name w:val="Fußnotentext Zchn"/>
    <w:basedOn w:val="Absatz-Standardschriftart"/>
    <w:link w:val="Funotentext"/>
    <w:uiPriority w:val="99"/>
    <w:rsid w:val="00D67F3A"/>
    <w:rPr>
      <w:rFonts w:ascii="Arial" w:hAnsi="Arial"/>
      <w:sz w:val="16"/>
      <w:szCs w:val="20"/>
    </w:rPr>
  </w:style>
  <w:style w:type="character" w:styleId="Funotenzeichen">
    <w:name w:val="footnote reference"/>
    <w:basedOn w:val="Absatz-Standardschriftart"/>
    <w:uiPriority w:val="99"/>
    <w:semiHidden/>
    <w:unhideWhenUsed/>
    <w:rsid w:val="004C17BE"/>
    <w:rPr>
      <w:rFonts w:asciiTheme="minorHAnsi" w:hAnsiTheme="minorHAnsi"/>
      <w:sz w:val="20"/>
      <w:vertAlign w:val="superscript"/>
    </w:rPr>
  </w:style>
  <w:style w:type="character" w:styleId="Platzhaltertext">
    <w:name w:val="Placeholder Text"/>
    <w:basedOn w:val="Absatz-Standardschriftart"/>
    <w:uiPriority w:val="99"/>
    <w:semiHidden/>
    <w:rsid w:val="00480786"/>
    <w:rPr>
      <w:color w:val="808080"/>
    </w:rPr>
  </w:style>
  <w:style w:type="character" w:customStyle="1" w:styleId="KeinLeerraumZchn">
    <w:name w:val="Kein Leerraum Zchn"/>
    <w:basedOn w:val="Absatz-Standardschriftart"/>
    <w:link w:val="KeinLeerraum"/>
    <w:uiPriority w:val="1"/>
    <w:rsid w:val="00B23F47"/>
    <w:rPr>
      <w:rFonts w:ascii="Arial" w:hAnsi="Arial"/>
    </w:rPr>
  </w:style>
  <w:style w:type="paragraph" w:customStyle="1" w:styleId="KopfAmt9pt">
    <w:name w:val="Kopf Amt 9pt"/>
    <w:basedOn w:val="Standard"/>
    <w:rsid w:val="00DE550D"/>
    <w:pPr>
      <w:spacing w:after="0" w:line="240" w:lineRule="atLeast"/>
    </w:pPr>
    <w:rPr>
      <w:sz w:val="18"/>
    </w:rPr>
  </w:style>
  <w:style w:type="paragraph" w:customStyle="1" w:styleId="Absender">
    <w:name w:val="Absender"/>
    <w:basedOn w:val="KeinLeerraum"/>
    <w:rsid w:val="00DE550D"/>
    <w:pPr>
      <w:spacing w:line="240" w:lineRule="atLeast"/>
    </w:pPr>
    <w:rPr>
      <w:noProof/>
      <w:sz w:val="18"/>
      <w:szCs w:val="18"/>
    </w:rPr>
  </w:style>
  <w:style w:type="paragraph" w:customStyle="1" w:styleId="AufzhlungfrTabelle9pt">
    <w:name w:val="Aufzählung für Tabelle 9pt"/>
    <w:basedOn w:val="Standard"/>
    <w:uiPriority w:val="10"/>
    <w:qFormat/>
    <w:rsid w:val="00662C7F"/>
    <w:pPr>
      <w:numPr>
        <w:numId w:val="17"/>
      </w:numPr>
      <w:spacing w:after="0" w:line="240" w:lineRule="atLeast"/>
      <w:ind w:left="170" w:hanging="170"/>
      <w:contextualSpacing/>
    </w:pPr>
    <w:rPr>
      <w:sz w:val="18"/>
    </w:rPr>
  </w:style>
  <w:style w:type="paragraph" w:customStyle="1" w:styleId="Kopfzeile2">
    <w:name w:val="Kopfzeile 2"/>
    <w:basedOn w:val="Kopfzeile"/>
    <w:rsid w:val="003E3D65"/>
    <w:rPr>
      <w:color w:val="808080" w:themeColor="background1" w:themeShade="80"/>
      <w:sz w:val="16"/>
    </w:rPr>
  </w:style>
  <w:style w:type="paragraph" w:customStyle="1" w:styleId="KopfDirektion9ptFett">
    <w:name w:val="Kopf Direktion 9pt Fett"/>
    <w:basedOn w:val="Standard"/>
    <w:rsid w:val="00DE550D"/>
    <w:pPr>
      <w:spacing w:after="0" w:line="240" w:lineRule="atLeast"/>
    </w:pPr>
    <w:rPr>
      <w:b/>
      <w:sz w:val="18"/>
    </w:rPr>
  </w:style>
  <w:style w:type="paragraph" w:customStyle="1" w:styleId="KleinschriftfrTabelle9pt">
    <w:name w:val="Kleinschrift für Tabelle 9pt"/>
    <w:basedOn w:val="Standard"/>
    <w:uiPriority w:val="10"/>
    <w:qFormat/>
    <w:rsid w:val="00DE550D"/>
    <w:pPr>
      <w:spacing w:after="0" w:line="240" w:lineRule="atLeast"/>
    </w:pPr>
    <w:rPr>
      <w:sz w:val="18"/>
    </w:rPr>
  </w:style>
  <w:style w:type="paragraph" w:customStyle="1" w:styleId="KleinschriftFettfrTabelle9pt">
    <w:name w:val="Kleinschrift Fett für Tabelle 9pt"/>
    <w:basedOn w:val="KleinschriftfrTabelle9pt"/>
    <w:uiPriority w:val="10"/>
    <w:qFormat/>
    <w:rsid w:val="00DE550D"/>
    <w:rPr>
      <w:b/>
    </w:rPr>
  </w:style>
  <w:style w:type="numbering" w:customStyle="1" w:styleId="ListeAufzhlungAltX">
    <w:name w:val="Liste Aufzählung (Alt+X)"/>
    <w:uiPriority w:val="99"/>
    <w:rsid w:val="00B10317"/>
    <w:pPr>
      <w:numPr>
        <w:numId w:val="18"/>
      </w:numPr>
    </w:pPr>
  </w:style>
  <w:style w:type="numbering" w:customStyle="1" w:styleId="ListegemischtAltG">
    <w:name w:val="Liste gemischt (Alt+G)"/>
    <w:uiPriority w:val="99"/>
    <w:locked/>
    <w:rsid w:val="00DE550D"/>
    <w:pPr>
      <w:numPr>
        <w:numId w:val="19"/>
      </w:numPr>
    </w:pPr>
  </w:style>
  <w:style w:type="numbering" w:customStyle="1" w:styleId="ListeNummernAltN">
    <w:name w:val="Liste Nummern (Alt+N)"/>
    <w:uiPriority w:val="99"/>
    <w:rsid w:val="00DE550D"/>
    <w:pPr>
      <w:numPr>
        <w:numId w:val="6"/>
      </w:numPr>
    </w:pPr>
  </w:style>
  <w:style w:type="paragraph" w:customStyle="1" w:styleId="Titelgross14pt">
    <w:name w:val="Titel gross 14pt"/>
    <w:basedOn w:val="Titel"/>
    <w:uiPriority w:val="3"/>
    <w:qFormat/>
    <w:rsid w:val="00DE550D"/>
    <w:rPr>
      <w:sz w:val="28"/>
    </w:rPr>
  </w:style>
  <w:style w:type="paragraph" w:customStyle="1" w:styleId="BriefkopfAdresse">
    <w:name w:val="Briefkopf Adresse"/>
    <w:basedOn w:val="Standard"/>
    <w:qFormat/>
    <w:rsid w:val="008D6021"/>
    <w:pPr>
      <w:spacing w:after="0" w:line="240" w:lineRule="auto"/>
    </w:pPr>
  </w:style>
  <w:style w:type="paragraph" w:customStyle="1" w:styleId="Enclosures">
    <w:name w:val="Enclosures"/>
    <w:basedOn w:val="Standard"/>
    <w:rsid w:val="00E7158D"/>
    <w:pPr>
      <w:keepNext/>
      <w:keepLines/>
      <w:spacing w:after="0" w:line="240" w:lineRule="atLeast"/>
    </w:pPr>
    <w:rPr>
      <w:rFonts w:eastAsia="Times New Roman" w:cs="Times New Roman"/>
      <w:lang w:val="en-GB" w:eastAsia="de-CH"/>
    </w:rPr>
  </w:style>
  <w:style w:type="paragraph" w:customStyle="1" w:styleId="Enclosures1">
    <w:name w:val="Enclosures1"/>
    <w:basedOn w:val="Enclosures"/>
    <w:next w:val="Standard"/>
    <w:rsid w:val="00E7158D"/>
    <w:pPr>
      <w:numPr>
        <w:numId w:val="24"/>
      </w:numPr>
    </w:pPr>
  </w:style>
  <w:style w:type="paragraph" w:customStyle="1" w:styleId="Subject">
    <w:name w:val="Subject"/>
    <w:basedOn w:val="Standard"/>
    <w:rsid w:val="00E7158D"/>
    <w:pPr>
      <w:keepNext/>
      <w:keepLines/>
      <w:spacing w:after="0" w:line="240" w:lineRule="atLeast"/>
    </w:pPr>
    <w:rPr>
      <w:rFonts w:eastAsia="Times New Roman" w:cs="Times New Roman"/>
      <w:b/>
      <w:lang w:eastAsia="de-CH"/>
    </w:rPr>
  </w:style>
  <w:style w:type="table" w:styleId="MittlereListe1">
    <w:name w:val="Medium List 1"/>
    <w:basedOn w:val="NormaleTabelle"/>
    <w:uiPriority w:val="65"/>
    <w:rsid w:val="00E7158D"/>
    <w:pPr>
      <w:spacing w:after="0"/>
    </w:pPr>
    <w:rPr>
      <w:rFonts w:ascii="Times New Roman" w:eastAsia="Times New Roman" w:hAnsi="Times New Roman" w:cs="Times New Roman"/>
      <w:color w:val="000000" w:themeColor="text1"/>
      <w:sz w:val="20"/>
      <w:szCs w:val="20"/>
      <w:lang w:eastAsia="de-CH"/>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Kommentarzeichen">
    <w:name w:val="annotation reference"/>
    <w:basedOn w:val="Absatz-Standardschriftart"/>
    <w:uiPriority w:val="99"/>
    <w:semiHidden/>
    <w:unhideWhenUsed/>
    <w:rsid w:val="00FC1FC8"/>
    <w:rPr>
      <w:sz w:val="16"/>
      <w:szCs w:val="16"/>
    </w:rPr>
  </w:style>
  <w:style w:type="paragraph" w:styleId="Kommentartext">
    <w:name w:val="annotation text"/>
    <w:basedOn w:val="Standard"/>
    <w:link w:val="KommentartextZchn"/>
    <w:uiPriority w:val="99"/>
    <w:semiHidden/>
    <w:unhideWhenUsed/>
    <w:rsid w:val="00FC1F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1FC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C1FC8"/>
    <w:rPr>
      <w:b/>
      <w:bCs/>
    </w:rPr>
  </w:style>
  <w:style w:type="character" w:customStyle="1" w:styleId="KommentarthemaZchn">
    <w:name w:val="Kommentarthema Zchn"/>
    <w:basedOn w:val="KommentartextZchn"/>
    <w:link w:val="Kommentarthema"/>
    <w:uiPriority w:val="99"/>
    <w:semiHidden/>
    <w:rsid w:val="00FC1FC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h/kj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ja@jgk.be.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Vorlagen\Briefkopf%20KJA%20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B96F5948864624915E778D50A73674"/>
        <w:category>
          <w:name w:val="Allgemein"/>
          <w:gallery w:val="placeholder"/>
        </w:category>
        <w:types>
          <w:type w:val="bbPlcHdr"/>
        </w:types>
        <w:behaviors>
          <w:behavior w:val="content"/>
        </w:behaviors>
        <w:guid w:val="{C6C0F8CE-0F14-4330-9E3B-62666BC9722A}"/>
      </w:docPartPr>
      <w:docPartBody>
        <w:p w:rsidR="004179FC" w:rsidRDefault="00386789">
          <w:pPr>
            <w:pStyle w:val="1CB96F5948864624915E778D50A73674"/>
          </w:pPr>
          <w:r w:rsidRPr="00A7333A">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FC"/>
    <w:rsid w:val="000556B4"/>
    <w:rsid w:val="001751CD"/>
    <w:rsid w:val="001B3508"/>
    <w:rsid w:val="002776E7"/>
    <w:rsid w:val="002F154D"/>
    <w:rsid w:val="00386789"/>
    <w:rsid w:val="004179FC"/>
    <w:rsid w:val="005D73E0"/>
    <w:rsid w:val="00875848"/>
    <w:rsid w:val="00A168F0"/>
    <w:rsid w:val="00A20D03"/>
    <w:rsid w:val="00A41E90"/>
    <w:rsid w:val="00B25F76"/>
    <w:rsid w:val="00B341D1"/>
    <w:rsid w:val="00D11217"/>
    <w:rsid w:val="00D7698C"/>
    <w:rsid w:val="00FD76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B30EA304D0B49E198EF19C1247C531A">
    <w:name w:val="DB30EA304D0B49E198EF19C1247C531A"/>
  </w:style>
  <w:style w:type="paragraph" w:customStyle="1" w:styleId="1583866B67ED4B0DA113B70A51B93948">
    <w:name w:val="1583866B67ED4B0DA113B70A51B93948"/>
  </w:style>
  <w:style w:type="paragraph" w:customStyle="1" w:styleId="B746BBFF15094D31BFAC789DF87F46F7">
    <w:name w:val="B746BBFF15094D31BFAC789DF87F46F7"/>
  </w:style>
  <w:style w:type="paragraph" w:customStyle="1" w:styleId="1CB96F5948864624915E778D50A73674">
    <w:name w:val="1CB96F5948864624915E778D50A73674"/>
  </w:style>
  <w:style w:type="paragraph" w:customStyle="1" w:styleId="99978C3AAB534907BE3D08242440B4D0">
    <w:name w:val="99978C3AAB534907BE3D08242440B4D0"/>
  </w:style>
  <w:style w:type="paragraph" w:customStyle="1" w:styleId="409FA317CC93432ABF5954663AD89BD1">
    <w:name w:val="409FA317CC93432ABF5954663AD89BD1"/>
  </w:style>
  <w:style w:type="paragraph" w:customStyle="1" w:styleId="97DB75F98BFA4144BD20B12EBAF578CA">
    <w:name w:val="97DB75F98BFA4144BD20B12EBAF578CA"/>
  </w:style>
  <w:style w:type="paragraph" w:customStyle="1" w:styleId="63CFBDA1D6EF409E8DDAF6D09EFB60B9">
    <w:name w:val="63CFBDA1D6EF409E8DDAF6D09EFB60B9"/>
  </w:style>
  <w:style w:type="paragraph" w:customStyle="1" w:styleId="21187848A4004E2F8E3E2AF0A382377A">
    <w:name w:val="21187848A4004E2F8E3E2AF0A382377A"/>
  </w:style>
  <w:style w:type="paragraph" w:customStyle="1" w:styleId="B53B3B5C006B42CDB0AD5CD49BF1FAD4">
    <w:name w:val="B53B3B5C006B42CDB0AD5CD49BF1F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
  <a:themeElements>
    <a:clrScheme name="KantonBE">
      <a:dk1>
        <a:sysClr val="windowText" lastClr="000000"/>
      </a:dk1>
      <a:lt1>
        <a:sysClr val="window" lastClr="FFFFFF"/>
      </a:lt1>
      <a:dk2>
        <a:srgbClr val="000000"/>
      </a:dk2>
      <a:lt2>
        <a:srgbClr val="FFFFFF"/>
      </a:lt2>
      <a:accent1>
        <a:srgbClr val="595959"/>
      </a:accent1>
      <a:accent2>
        <a:srgbClr val="FF0000"/>
      </a:accent2>
      <a:accent3>
        <a:srgbClr val="4A81B6"/>
      </a:accent3>
      <a:accent4>
        <a:srgbClr val="CFCFCF"/>
      </a:accent4>
      <a:accent5>
        <a:srgbClr val="97B8C7"/>
      </a:accent5>
      <a:accent6>
        <a:srgbClr val="1D4575"/>
      </a:accent6>
      <a:hlink>
        <a:srgbClr val="0000FF"/>
      </a:hlink>
      <a:folHlink>
        <a:srgbClr val="800080"/>
      </a:folHlink>
    </a:clrScheme>
    <a:fontScheme name="KantonB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E6C6C-71F3-4FC7-85EB-6B997B1D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KJA d</Template>
  <TotalTime>0</TotalTime>
  <Pages>10</Pages>
  <Words>2466</Words>
  <Characters>15539</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Allg. Brief</vt:lpstr>
    </vt:vector>
  </TitlesOfParts>
  <Company>Kanton Bern</Company>
  <LinksUpToDate>false</LinksUpToDate>
  <CharactersWithSpaces>17970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 Brief</dc:title>
  <dc:creator>Allenbach Verena, JGK-KJA</dc:creator>
  <cp:lastModifiedBy>Andrea Lüthi</cp:lastModifiedBy>
  <cp:revision>7</cp:revision>
  <cp:lastPrinted>2013-12-20T11:30:00Z</cp:lastPrinted>
  <dcterms:created xsi:type="dcterms:W3CDTF">2016-06-29T06:54:00Z</dcterms:created>
  <dcterms:modified xsi:type="dcterms:W3CDTF">2016-06-29T13:07:00Z</dcterms:modified>
</cp:coreProperties>
</file>